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1754AFE1" w:rsidR="00757E28" w:rsidRPr="002632AA" w:rsidRDefault="00757E28" w:rsidP="00757E28">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Pr>
          <w:b/>
          <w:sz w:val="24"/>
          <w:szCs w:val="24"/>
        </w:rPr>
        <w:t>116</w:t>
      </w:r>
      <w:r w:rsidR="001D23B5">
        <w:rPr>
          <w:b/>
          <w:sz w:val="24"/>
          <w:szCs w:val="24"/>
        </w:rPr>
        <w:t>bis</w:t>
      </w:r>
      <w:r w:rsidRPr="002632AA">
        <w:rPr>
          <w:b/>
          <w:sz w:val="24"/>
          <w:szCs w:val="24"/>
        </w:rPr>
        <w:tab/>
      </w:r>
      <w:r w:rsidRPr="00A11303">
        <w:rPr>
          <w:b/>
          <w:sz w:val="24"/>
          <w:szCs w:val="24"/>
        </w:rPr>
        <w:t>R1-24</w:t>
      </w:r>
      <w:r w:rsidR="00A11303" w:rsidRPr="00A11303">
        <w:rPr>
          <w:b/>
          <w:sz w:val="24"/>
          <w:szCs w:val="24"/>
        </w:rPr>
        <w:t>03277</w:t>
      </w:r>
      <w:r w:rsidRPr="00A70501">
        <w:rPr>
          <w:b/>
          <w:sz w:val="24"/>
          <w:szCs w:val="24"/>
        </w:rPr>
        <w:t xml:space="preserve">      </w:t>
      </w:r>
    </w:p>
    <w:p w14:paraId="3718A938" w14:textId="0EA752E4" w:rsidR="00757E28" w:rsidRPr="00505B75" w:rsidRDefault="001D23B5" w:rsidP="00757E28">
      <w:pPr>
        <w:tabs>
          <w:tab w:val="left" w:pos="1701"/>
          <w:tab w:val="right" w:pos="9639"/>
        </w:tabs>
        <w:spacing w:after="240"/>
        <w:rPr>
          <w:b/>
        </w:rPr>
      </w:pPr>
      <w:r w:rsidRPr="001D23B5">
        <w:rPr>
          <w:b/>
          <w:sz w:val="24"/>
          <w:lang w:eastAsia="zh-CN"/>
        </w:rPr>
        <w:t>Changsha, China, April 15th – April 19th, 2024</w:t>
      </w:r>
    </w:p>
    <w:p w14:paraId="4820AAD3" w14:textId="7388FE0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0454373B" w:rsidR="00757E28" w:rsidRPr="004E7E0C" w:rsidRDefault="00757E28" w:rsidP="00757E28">
      <w:pPr>
        <w:pStyle w:val="3GPPHeader"/>
        <w:rPr>
          <w:sz w:val="22"/>
        </w:rPr>
      </w:pPr>
      <w:r w:rsidRPr="004E7E0C">
        <w:rPr>
          <w:sz w:val="22"/>
        </w:rPr>
        <w:t>Title:</w:t>
      </w:r>
      <w:r w:rsidRPr="004E7E0C">
        <w:rPr>
          <w:sz w:val="22"/>
        </w:rPr>
        <w:tab/>
      </w:r>
      <w:r w:rsidR="00BD55BC" w:rsidRPr="00BD55BC">
        <w:t>LP-WUR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4990AFBF"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1D23B5">
        <w:t>In RAN1-116, the following agreements were reached:</w:t>
      </w:r>
    </w:p>
    <w:tbl>
      <w:tblPr>
        <w:tblStyle w:val="TableGrid"/>
        <w:tblW w:w="0" w:type="auto"/>
        <w:tblLook w:val="04A0" w:firstRow="1" w:lastRow="0" w:firstColumn="1" w:lastColumn="0" w:noHBand="0" w:noVBand="1"/>
      </w:tblPr>
      <w:tblGrid>
        <w:gridCol w:w="9629"/>
      </w:tblGrid>
      <w:tr w:rsidR="00757E28" w:rsidRPr="005555BF" w14:paraId="5F4FCD14" w14:textId="77777777" w:rsidTr="001D7E81">
        <w:tc>
          <w:tcPr>
            <w:tcW w:w="9629" w:type="dxa"/>
          </w:tcPr>
          <w:p w14:paraId="6F915184" w14:textId="77777777" w:rsidR="001D23B5" w:rsidRPr="000D73CD" w:rsidRDefault="001D23B5" w:rsidP="00535A55">
            <w:pPr>
              <w:spacing w:after="0"/>
              <w:rPr>
                <w:rFonts w:ascii="Times New Roman" w:hAnsi="Times New Roman" w:cs="Times New Roman"/>
                <w:b/>
                <w:bCs/>
                <w:sz w:val="20"/>
                <w:highlight w:val="green"/>
                <w:lang w:eastAsia="zh-CN" w:bidi="ar"/>
              </w:rPr>
            </w:pPr>
            <w:r w:rsidRPr="000D73CD">
              <w:rPr>
                <w:rFonts w:ascii="Times New Roman" w:hAnsi="Times New Roman" w:cs="Times New Roman"/>
                <w:b/>
                <w:bCs/>
                <w:sz w:val="20"/>
                <w:highlight w:val="green"/>
                <w:lang w:eastAsia="zh-CN" w:bidi="ar"/>
              </w:rPr>
              <w:t>Agreement</w:t>
            </w:r>
          </w:p>
          <w:p w14:paraId="34F124D2" w14:textId="77777777" w:rsidR="001D23B5" w:rsidRPr="000D73CD" w:rsidRDefault="001D23B5" w:rsidP="00535A55">
            <w:pPr>
              <w:spacing w:after="0"/>
              <w:rPr>
                <w:rFonts w:ascii="Times New Roman" w:hAnsi="Times New Roman" w:cs="Times New Roman"/>
                <w:sz w:val="20"/>
                <w:lang w:eastAsia="zh-CN" w:bidi="ar"/>
              </w:rPr>
            </w:pPr>
            <w:r w:rsidRPr="000D73CD">
              <w:rPr>
                <w:rFonts w:ascii="Times New Roman" w:hAnsi="Times New Roman" w:cs="Times New Roman"/>
                <w:sz w:val="20"/>
                <w:lang w:eastAsia="zh-CN" w:bidi="ar"/>
              </w:rPr>
              <w:t>Multi-beam operations are supported for LP-WUS and LP-SS for idle mode</w:t>
            </w:r>
          </w:p>
          <w:p w14:paraId="221E6D79" w14:textId="77777777" w:rsidR="001D23B5" w:rsidRPr="000D73CD" w:rsidRDefault="001D23B5" w:rsidP="00535A55">
            <w:pPr>
              <w:spacing w:after="0"/>
              <w:rPr>
                <w:rFonts w:ascii="Times New Roman" w:hAnsi="Times New Roman" w:cs="Times New Roman"/>
                <w:sz w:val="20"/>
                <w:lang w:eastAsia="zh-CN" w:bidi="ar"/>
              </w:rPr>
            </w:pPr>
          </w:p>
          <w:p w14:paraId="045A84FD" w14:textId="77777777" w:rsidR="001D23B5" w:rsidRPr="000D73CD" w:rsidRDefault="001D23B5" w:rsidP="00535A55">
            <w:pPr>
              <w:spacing w:after="0"/>
              <w:rPr>
                <w:rFonts w:ascii="Times New Roman" w:hAnsi="Times New Roman" w:cs="Times New Roman"/>
                <w:b/>
                <w:bCs/>
                <w:sz w:val="20"/>
                <w:highlight w:val="green"/>
                <w:lang w:eastAsia="zh-CN" w:bidi="ar"/>
              </w:rPr>
            </w:pPr>
            <w:r w:rsidRPr="000D73CD">
              <w:rPr>
                <w:rFonts w:ascii="Times New Roman" w:hAnsi="Times New Roman" w:cs="Times New Roman"/>
                <w:b/>
                <w:bCs/>
                <w:sz w:val="20"/>
                <w:highlight w:val="green"/>
                <w:lang w:eastAsia="zh-CN" w:bidi="ar"/>
              </w:rPr>
              <w:t>Agreement</w:t>
            </w:r>
          </w:p>
          <w:p w14:paraId="1FACA312" w14:textId="77777777" w:rsidR="001D23B5" w:rsidRPr="000D73CD" w:rsidRDefault="001D23B5" w:rsidP="00535A55">
            <w:pPr>
              <w:spacing w:after="0"/>
              <w:rPr>
                <w:rFonts w:ascii="Times New Roman" w:hAnsi="Times New Roman" w:cs="Times New Roman"/>
                <w:sz w:val="20"/>
              </w:rPr>
            </w:pPr>
            <w:r w:rsidRPr="000D73CD">
              <w:rPr>
                <w:rFonts w:ascii="Times New Roman" w:hAnsi="Times New Roman" w:cs="Times New Roman"/>
                <w:sz w:val="20"/>
              </w:rPr>
              <w:t>LP-WUS occasions (LOs) are defined for LP-WUS monitoring.</w:t>
            </w:r>
          </w:p>
          <w:p w14:paraId="3CF8B61E" w14:textId="77777777" w:rsidR="001D23B5" w:rsidRPr="000D73CD" w:rsidRDefault="001D23B5" w:rsidP="00535A55">
            <w:pPr>
              <w:numPr>
                <w:ilvl w:val="0"/>
                <w:numId w:val="15"/>
              </w:numPr>
              <w:spacing w:after="0"/>
              <w:rPr>
                <w:rFonts w:ascii="Times New Roman" w:hAnsi="Times New Roman" w:cs="Times New Roman"/>
                <w:sz w:val="20"/>
                <w:lang w:eastAsia="x-none"/>
              </w:rPr>
            </w:pPr>
            <w:r w:rsidRPr="000D73CD">
              <w:rPr>
                <w:rFonts w:ascii="Times New Roman" w:hAnsi="Times New Roman" w:cs="Times New Roman"/>
                <w:sz w:val="20"/>
                <w:lang w:eastAsia="x-none"/>
              </w:rPr>
              <w:t xml:space="preserve">Each LO has one or more LP-WUS monitoring occasions (MOs), where UE </w:t>
            </w:r>
            <w:r w:rsidRPr="000D73CD">
              <w:rPr>
                <w:rFonts w:ascii="Times New Roman" w:hAnsi="Times New Roman" w:cs="Times New Roman"/>
                <w:color w:val="FF0000"/>
                <w:sz w:val="20"/>
                <w:lang w:eastAsia="x-none"/>
              </w:rPr>
              <w:t xml:space="preserve">can </w:t>
            </w:r>
            <w:r w:rsidRPr="000D73CD">
              <w:rPr>
                <w:rFonts w:ascii="Times New Roman" w:hAnsi="Times New Roman" w:cs="Times New Roman"/>
                <w:sz w:val="20"/>
                <w:lang w:eastAsia="x-none"/>
              </w:rPr>
              <w:t>monitor</w:t>
            </w:r>
            <w:r w:rsidRPr="000D73CD">
              <w:rPr>
                <w:rFonts w:ascii="Times New Roman" w:hAnsi="Times New Roman" w:cs="Times New Roman"/>
                <w:strike/>
                <w:color w:val="FF0000"/>
                <w:sz w:val="20"/>
                <w:lang w:eastAsia="x-none"/>
              </w:rPr>
              <w:t>s</w:t>
            </w:r>
            <w:r w:rsidRPr="000D73CD">
              <w:rPr>
                <w:rFonts w:ascii="Times New Roman" w:hAnsi="Times New Roman" w:cs="Times New Roman"/>
                <w:sz w:val="20"/>
                <w:lang w:eastAsia="x-none"/>
              </w:rPr>
              <w:t xml:space="preserve"> for LP-WUS transmission in each of the LP-WUS MOs.</w:t>
            </w:r>
          </w:p>
          <w:p w14:paraId="2C6F68CD" w14:textId="77777777" w:rsidR="001D23B5" w:rsidRPr="000D73CD" w:rsidRDefault="001D23B5" w:rsidP="00535A55">
            <w:pPr>
              <w:numPr>
                <w:ilvl w:val="1"/>
                <w:numId w:val="15"/>
              </w:numPr>
              <w:spacing w:after="0"/>
              <w:rPr>
                <w:rFonts w:ascii="Times New Roman" w:hAnsi="Times New Roman" w:cs="Times New Roman"/>
                <w:sz w:val="20"/>
                <w:lang w:eastAsia="x-none"/>
              </w:rPr>
            </w:pPr>
            <w:r w:rsidRPr="000D73CD">
              <w:rPr>
                <w:rFonts w:ascii="Times New Roman" w:hAnsi="Times New Roman" w:cs="Times New Roman"/>
                <w:sz w:val="20"/>
                <w:lang w:eastAsia="x-none"/>
              </w:rPr>
              <w:t>Different LP-WUS MOs may correspond to different beams in multi-beam operation</w:t>
            </w:r>
          </w:p>
          <w:p w14:paraId="49145A63" w14:textId="77777777" w:rsidR="001D23B5" w:rsidRPr="000D73CD" w:rsidRDefault="001D23B5" w:rsidP="00535A55">
            <w:pPr>
              <w:numPr>
                <w:ilvl w:val="1"/>
                <w:numId w:val="15"/>
              </w:numPr>
              <w:spacing w:after="0"/>
              <w:rPr>
                <w:rFonts w:ascii="Times New Roman" w:hAnsi="Times New Roman" w:cs="Times New Roman"/>
                <w:sz w:val="20"/>
                <w:lang w:eastAsia="x-none"/>
              </w:rPr>
            </w:pPr>
            <w:r w:rsidRPr="000D73CD">
              <w:rPr>
                <w:rFonts w:ascii="Times New Roman" w:hAnsi="Times New Roman" w:cs="Times New Roman"/>
                <w:strike/>
                <w:color w:val="FF0000"/>
                <w:sz w:val="20"/>
                <w:lang w:eastAsia="x-none"/>
              </w:rPr>
              <w:t xml:space="preserve">It is not precluded that </w:t>
            </w:r>
            <w:r w:rsidRPr="000D73CD">
              <w:rPr>
                <w:rFonts w:ascii="Times New Roman" w:hAnsi="Times New Roman" w:cs="Times New Roman"/>
                <w:color w:val="FF0000"/>
                <w:sz w:val="20"/>
                <w:lang w:eastAsia="x-none"/>
              </w:rPr>
              <w:t xml:space="preserve">FFS whether or not </w:t>
            </w:r>
            <w:r w:rsidRPr="000D73CD">
              <w:rPr>
                <w:rFonts w:ascii="Times New Roman" w:hAnsi="Times New Roman" w:cs="Times New Roman"/>
                <w:sz w:val="20"/>
                <w:lang w:eastAsia="x-none"/>
              </w:rPr>
              <w:t>each LO is defined as a time window that covers the corresponding LP-WUS MOs</w:t>
            </w:r>
          </w:p>
          <w:p w14:paraId="2CDC609B" w14:textId="77777777" w:rsidR="001D23B5" w:rsidRPr="000D73CD" w:rsidRDefault="001D23B5" w:rsidP="00535A55">
            <w:pPr>
              <w:numPr>
                <w:ilvl w:val="1"/>
                <w:numId w:val="15"/>
              </w:numPr>
              <w:spacing w:after="0"/>
              <w:rPr>
                <w:rFonts w:ascii="Times New Roman" w:hAnsi="Times New Roman" w:cs="Times New Roman"/>
                <w:sz w:val="20"/>
                <w:lang w:eastAsia="x-none"/>
              </w:rPr>
            </w:pPr>
            <w:r w:rsidRPr="000D73CD">
              <w:rPr>
                <w:rFonts w:ascii="Times New Roman" w:hAnsi="Times New Roman" w:cs="Times New Roman"/>
                <w:sz w:val="20"/>
                <w:lang w:eastAsia="x-none"/>
              </w:rPr>
              <w:t>FFS details</w:t>
            </w:r>
          </w:p>
          <w:p w14:paraId="1D72EF94" w14:textId="77777777" w:rsidR="001D23B5" w:rsidRPr="000D73CD" w:rsidRDefault="001D23B5" w:rsidP="00535A55">
            <w:pPr>
              <w:numPr>
                <w:ilvl w:val="0"/>
                <w:numId w:val="15"/>
              </w:numPr>
              <w:spacing w:after="0"/>
              <w:rPr>
                <w:rFonts w:ascii="Times New Roman" w:hAnsi="Times New Roman" w:cs="Times New Roman"/>
                <w:color w:val="FF0000"/>
                <w:sz w:val="20"/>
                <w:lang w:eastAsia="x-none"/>
              </w:rPr>
            </w:pPr>
            <w:r w:rsidRPr="000D73CD">
              <w:rPr>
                <w:rFonts w:ascii="Times New Roman" w:hAnsi="Times New Roman" w:cs="Times New Roman"/>
                <w:color w:val="FF0000"/>
                <w:sz w:val="20"/>
                <w:lang w:eastAsia="x-none"/>
              </w:rPr>
              <w:t>It is at least supported that a UE monitors LOs with a configured periodicity.</w:t>
            </w:r>
          </w:p>
          <w:p w14:paraId="5D5DCF5D" w14:textId="77777777" w:rsidR="001D23B5" w:rsidRPr="000D73CD" w:rsidRDefault="001D23B5" w:rsidP="00535A55">
            <w:pPr>
              <w:numPr>
                <w:ilvl w:val="0"/>
                <w:numId w:val="15"/>
              </w:numPr>
              <w:spacing w:after="0"/>
              <w:rPr>
                <w:rFonts w:ascii="Times New Roman" w:hAnsi="Times New Roman" w:cs="Times New Roman"/>
                <w:strike/>
                <w:color w:val="FF0000"/>
                <w:sz w:val="20"/>
                <w:lang w:eastAsia="x-none"/>
              </w:rPr>
            </w:pPr>
            <w:r w:rsidRPr="000D73CD">
              <w:rPr>
                <w:rFonts w:ascii="Times New Roman" w:hAnsi="Times New Roman" w:cs="Times New Roman"/>
                <w:strike/>
                <w:color w:val="FF0000"/>
                <w:sz w:val="20"/>
                <w:lang w:eastAsia="x-none"/>
              </w:rPr>
              <w:t>Each UE has a periodicity for LO monitoring, and it is at least supported that a UE monitors one LO per period.</w:t>
            </w:r>
          </w:p>
          <w:p w14:paraId="72E91160" w14:textId="77777777" w:rsidR="001D23B5" w:rsidRPr="000D73CD" w:rsidRDefault="001D23B5" w:rsidP="00535A55">
            <w:pPr>
              <w:numPr>
                <w:ilvl w:val="1"/>
                <w:numId w:val="15"/>
              </w:numPr>
              <w:spacing w:after="0"/>
              <w:rPr>
                <w:rFonts w:ascii="Times New Roman" w:eastAsia="Malgun Gothic" w:hAnsi="Times New Roman" w:cs="Times New Roman"/>
                <w:sz w:val="20"/>
                <w:lang w:eastAsia="ko-KR"/>
              </w:rPr>
            </w:pPr>
            <w:r w:rsidRPr="000D73CD">
              <w:rPr>
                <w:rFonts w:ascii="Times New Roman" w:hAnsi="Times New Roman" w:cs="Times New Roman"/>
                <w:strike/>
                <w:color w:val="FF0000"/>
                <w:sz w:val="20"/>
                <w:lang w:eastAsia="x-none"/>
              </w:rPr>
              <w:t xml:space="preserve">FFS: A UE does not expect its LP-WUS monitoring occasions overlapping in time </w:t>
            </w:r>
          </w:p>
          <w:p w14:paraId="724C93F9" w14:textId="77777777" w:rsidR="001D23B5" w:rsidRPr="000D73CD" w:rsidRDefault="001D23B5" w:rsidP="00535A55">
            <w:pPr>
              <w:numPr>
                <w:ilvl w:val="1"/>
                <w:numId w:val="15"/>
              </w:numPr>
              <w:spacing w:after="0"/>
              <w:rPr>
                <w:rFonts w:ascii="Times New Roman" w:eastAsia="Malgun Gothic" w:hAnsi="Times New Roman" w:cs="Times New Roman"/>
                <w:sz w:val="20"/>
                <w:lang w:eastAsia="ko-KR"/>
              </w:rPr>
            </w:pPr>
            <w:r w:rsidRPr="000D73CD">
              <w:rPr>
                <w:rFonts w:ascii="Times New Roman" w:hAnsi="Times New Roman" w:cs="Times New Roman"/>
                <w:strike/>
                <w:color w:val="FF0000"/>
                <w:sz w:val="20"/>
                <w:lang w:eastAsia="x-none"/>
              </w:rPr>
              <w:t>FFS: monitoring of multiple more than one LOs per period e.g. if LP-WUS common to all UEs is supported or in case of eDRX (if supported)</w:t>
            </w:r>
          </w:p>
          <w:p w14:paraId="7ED59A49" w14:textId="77777777" w:rsidR="001D23B5" w:rsidRPr="000D73CD" w:rsidRDefault="001D23B5" w:rsidP="00535A55">
            <w:pPr>
              <w:numPr>
                <w:ilvl w:val="0"/>
                <w:numId w:val="15"/>
              </w:numPr>
              <w:spacing w:after="0"/>
              <w:rPr>
                <w:rFonts w:ascii="Times New Roman" w:eastAsia="Malgun Gothic" w:hAnsi="Times New Roman" w:cs="Times New Roman"/>
                <w:sz w:val="20"/>
                <w:lang w:eastAsia="ko-KR"/>
              </w:rPr>
            </w:pPr>
            <w:r w:rsidRPr="000D73CD">
              <w:rPr>
                <w:rFonts w:ascii="Times New Roman" w:hAnsi="Times New Roman" w:cs="Times New Roman"/>
                <w:color w:val="FF0000"/>
                <w:sz w:val="20"/>
                <w:lang w:eastAsia="ko-KR"/>
              </w:rPr>
              <w:t>FFS eDRX, if supported</w:t>
            </w:r>
          </w:p>
          <w:p w14:paraId="638CD2D6" w14:textId="77777777" w:rsidR="001D23B5" w:rsidRPr="000D73CD" w:rsidRDefault="001D23B5" w:rsidP="00535A55">
            <w:pPr>
              <w:spacing w:after="0"/>
              <w:rPr>
                <w:rFonts w:ascii="Times New Roman" w:hAnsi="Times New Roman" w:cs="Times New Roman"/>
                <w:sz w:val="20"/>
                <w:lang w:eastAsia="zh-CN" w:bidi="ar"/>
              </w:rPr>
            </w:pPr>
          </w:p>
          <w:p w14:paraId="2C81405F" w14:textId="77777777" w:rsidR="001D23B5" w:rsidRPr="000D73CD" w:rsidRDefault="001D23B5" w:rsidP="00535A55">
            <w:pPr>
              <w:spacing w:after="0"/>
              <w:rPr>
                <w:rFonts w:ascii="Times New Roman" w:hAnsi="Times New Roman" w:cs="Times New Roman"/>
                <w:b/>
                <w:bCs/>
                <w:sz w:val="20"/>
                <w:highlight w:val="green"/>
                <w:lang w:eastAsia="zh-CN" w:bidi="ar"/>
              </w:rPr>
            </w:pPr>
            <w:r w:rsidRPr="000D73CD">
              <w:rPr>
                <w:rFonts w:ascii="Times New Roman" w:hAnsi="Times New Roman" w:cs="Times New Roman"/>
                <w:b/>
                <w:bCs/>
                <w:sz w:val="20"/>
                <w:highlight w:val="green"/>
                <w:lang w:eastAsia="zh-CN" w:bidi="ar"/>
              </w:rPr>
              <w:t>Agreement</w:t>
            </w:r>
          </w:p>
          <w:p w14:paraId="758F542D" w14:textId="77777777" w:rsidR="001D23B5" w:rsidRPr="000D73CD" w:rsidRDefault="001D23B5" w:rsidP="00535A55">
            <w:pPr>
              <w:spacing w:after="0"/>
              <w:rPr>
                <w:rFonts w:ascii="Times New Roman" w:hAnsi="Times New Roman" w:cs="Times New Roman"/>
                <w:sz w:val="20"/>
              </w:rPr>
            </w:pPr>
            <w:r w:rsidRPr="000D73CD">
              <w:rPr>
                <w:rFonts w:ascii="Times New Roman" w:hAnsi="Times New Roman" w:cs="Times New Roman"/>
                <w:sz w:val="20"/>
              </w:rPr>
              <w:t>For the case where a UE supports PEI and PEI is configured by the gNB, after the UE receives LP-WUS indicating wake-up, it is up to UE implementation whether to monitor PEI or not.</w:t>
            </w:r>
          </w:p>
          <w:p w14:paraId="169D301F" w14:textId="77777777" w:rsidR="001D23B5" w:rsidRPr="000D73CD" w:rsidRDefault="001D23B5" w:rsidP="00535A55">
            <w:pPr>
              <w:spacing w:after="0"/>
              <w:rPr>
                <w:rFonts w:ascii="Times New Roman" w:hAnsi="Times New Roman" w:cs="Times New Roman"/>
                <w:sz w:val="20"/>
                <w:lang w:eastAsia="zh-CN" w:bidi="ar"/>
              </w:rPr>
            </w:pPr>
          </w:p>
          <w:p w14:paraId="274BCCC9" w14:textId="77777777" w:rsidR="001D23B5" w:rsidRPr="000D73CD" w:rsidRDefault="001D23B5" w:rsidP="00535A55">
            <w:pPr>
              <w:spacing w:after="0"/>
              <w:rPr>
                <w:rFonts w:ascii="Times New Roman" w:hAnsi="Times New Roman" w:cs="Times New Roman"/>
                <w:b/>
                <w:bCs/>
                <w:sz w:val="20"/>
                <w:highlight w:val="green"/>
                <w:lang w:eastAsia="zh-CN" w:bidi="ar"/>
              </w:rPr>
            </w:pPr>
            <w:r w:rsidRPr="000D73CD">
              <w:rPr>
                <w:rFonts w:ascii="Times New Roman" w:hAnsi="Times New Roman" w:cs="Times New Roman"/>
                <w:b/>
                <w:bCs/>
                <w:sz w:val="20"/>
                <w:highlight w:val="green"/>
                <w:lang w:eastAsia="zh-CN" w:bidi="ar"/>
              </w:rPr>
              <w:t>Agreement</w:t>
            </w:r>
          </w:p>
          <w:p w14:paraId="21FC055A" w14:textId="77777777" w:rsidR="001D23B5" w:rsidRPr="000D73CD" w:rsidRDefault="001D23B5" w:rsidP="00535A55">
            <w:pPr>
              <w:spacing w:after="0"/>
              <w:rPr>
                <w:rFonts w:ascii="Times New Roman" w:hAnsi="Times New Roman" w:cs="Times New Roman"/>
                <w:sz w:val="20"/>
              </w:rPr>
            </w:pPr>
            <w:r w:rsidRPr="000D73CD">
              <w:rPr>
                <w:rFonts w:ascii="Times New Roman" w:hAnsi="Times New Roman" w:cs="Times New Roman"/>
                <w:sz w:val="20"/>
              </w:rPr>
              <w:t>It is supported that the UE monitors the legacy PO after receiving LP-WUS indicating wake-up.</w:t>
            </w:r>
          </w:p>
          <w:p w14:paraId="5C66085D" w14:textId="77777777" w:rsidR="001D23B5" w:rsidRPr="000D73CD" w:rsidRDefault="001D23B5" w:rsidP="00535A55">
            <w:pPr>
              <w:numPr>
                <w:ilvl w:val="0"/>
                <w:numId w:val="14"/>
              </w:numPr>
              <w:spacing w:after="0"/>
              <w:rPr>
                <w:rFonts w:ascii="Times New Roman" w:hAnsi="Times New Roman" w:cs="Times New Roman"/>
                <w:sz w:val="20"/>
                <w:lang w:eastAsia="x-none"/>
              </w:rPr>
            </w:pPr>
            <w:r w:rsidRPr="000D73CD">
              <w:rPr>
                <w:rFonts w:ascii="Times New Roman" w:hAnsi="Times New Roman" w:cs="Times New Roman"/>
                <w:sz w:val="20"/>
                <w:lang w:eastAsia="x-none"/>
              </w:rPr>
              <w:t>FFS: support of UE monitoring dynamic PO</w:t>
            </w:r>
          </w:p>
          <w:p w14:paraId="515BBA3D" w14:textId="77777777" w:rsidR="001D23B5" w:rsidRPr="000D73CD" w:rsidRDefault="001D23B5" w:rsidP="00535A55">
            <w:pPr>
              <w:spacing w:after="0"/>
              <w:rPr>
                <w:rFonts w:ascii="Times New Roman" w:hAnsi="Times New Roman" w:cs="Times New Roman"/>
                <w:sz w:val="20"/>
                <w:lang w:eastAsia="zh-CN" w:bidi="ar"/>
              </w:rPr>
            </w:pPr>
          </w:p>
          <w:p w14:paraId="4704A9ED" w14:textId="77777777" w:rsidR="001D23B5" w:rsidRPr="000D73CD" w:rsidRDefault="001D23B5" w:rsidP="00535A55">
            <w:pPr>
              <w:spacing w:after="0"/>
              <w:rPr>
                <w:rFonts w:ascii="Times New Roman" w:hAnsi="Times New Roman" w:cs="Times New Roman"/>
                <w:b/>
                <w:bCs/>
                <w:sz w:val="20"/>
              </w:rPr>
            </w:pPr>
            <w:r w:rsidRPr="000D73CD">
              <w:rPr>
                <w:rFonts w:ascii="Times New Roman" w:hAnsi="Times New Roman" w:cs="Times New Roman"/>
                <w:b/>
                <w:bCs/>
                <w:sz w:val="20"/>
              </w:rPr>
              <w:t>Conclusion</w:t>
            </w:r>
          </w:p>
          <w:p w14:paraId="621BCB36" w14:textId="5ECD7178" w:rsidR="00757E28" w:rsidRPr="000D73CD" w:rsidRDefault="001D23B5" w:rsidP="00535A55">
            <w:pPr>
              <w:spacing w:after="0"/>
              <w:rPr>
                <w:rFonts w:ascii="Times New Roman" w:hAnsi="Times New Roman" w:cs="Times New Roman"/>
                <w:sz w:val="20"/>
              </w:rPr>
            </w:pPr>
            <w:r w:rsidRPr="000D73CD">
              <w:rPr>
                <w:rFonts w:ascii="Times New Roman" w:hAnsi="Times New Roman" w:cs="Times New Roman"/>
                <w:sz w:val="20"/>
              </w:rPr>
              <w:t>For idle/inactive mode, how to map a UE to a subgroup ID for LP-WUS is left to RAN2 to decide.</w:t>
            </w:r>
          </w:p>
        </w:tc>
      </w:tr>
    </w:tbl>
    <w:p w14:paraId="4CE5C357" w14:textId="0DABB26E" w:rsidR="00757E28" w:rsidRPr="00CE0424" w:rsidRDefault="00757E28" w:rsidP="00757E28">
      <w:pPr>
        <w:pStyle w:val="Heading1"/>
      </w:pPr>
      <w:bookmarkStart w:id="1" w:name="_Ref178064866"/>
      <w:bookmarkStart w:id="2" w:name="_Hlk142644764"/>
      <w:r>
        <w:t>2</w:t>
      </w:r>
      <w:r>
        <w:tab/>
      </w:r>
      <w:bookmarkEnd w:id="1"/>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1C4ADF">
      <w:pPr>
        <w:keepNext/>
        <w:jc w:val="both"/>
      </w:pPr>
      <w:r w:rsidRPr="005A3C8D">
        <w:rPr>
          <w:noProof/>
        </w:rPr>
        <w:lastRenderedPageBreak/>
        <w:drawing>
          <wp:inline distT="0" distB="0" distL="0" distR="0" wp14:anchorId="497ADAB3" wp14:editId="5C1DEF31">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53F718AF" w14:textId="7A82B680"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D4BDDAF" w14:textId="4113E825" w:rsidR="0038693D" w:rsidRDefault="0038693D" w:rsidP="0038693D">
      <w:pPr>
        <w:pStyle w:val="BodyText"/>
      </w:pPr>
      <w:r>
        <w:t xml:space="preserve">Compared to the legacy operation in Rel-15 where the main receiver needs to always periodically wake up every DRX cycle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3" w:name="_Toc118667254"/>
      <w:bookmarkStart w:id="4" w:name="_Toc127356105"/>
      <w:bookmarkStart w:id="5" w:name="_Toc163174666"/>
      <w:bookmarkStart w:id="6" w:name="_Toc163200090"/>
      <w:r>
        <w:t>For LP-WUR 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bookmarkEnd w:id="6"/>
      <w:r w:rsidR="00184903">
        <w:t xml:space="preserve"> </w:t>
      </w:r>
    </w:p>
    <w:p w14:paraId="76DE6A47" w14:textId="228FDC55" w:rsidR="000D73CD" w:rsidRDefault="000D73CD" w:rsidP="00344608">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similar to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With proper configuration of an offset parameter between WUS monitoring occasion and paging occasion/frame, the paging latency can be minimized.</w:t>
      </w:r>
      <w:r w:rsidR="00E87A9F">
        <w:t xml:space="preserve"> To further minimize latency impact when using legacy PO, the network can configure short paging cycle.</w:t>
      </w:r>
    </w:p>
    <w:p w14:paraId="5CE4A93F" w14:textId="4C7F23B2" w:rsidR="00F91098" w:rsidRDefault="000D73CD" w:rsidP="00344608">
      <w:pPr>
        <w:pStyle w:val="ArialText"/>
      </w:pPr>
      <w:r>
        <w:t xml:space="preserve">In addition to the above baseline, it was discussed whether to support UE monitoring </w:t>
      </w:r>
      <w:r w:rsidR="00956050">
        <w:t>“</w:t>
      </w:r>
      <w:r>
        <w:t>dynamic PO</w:t>
      </w:r>
      <w:r w:rsidR="00956050">
        <w:t>”</w:t>
      </w:r>
      <w:r>
        <w:t xml:space="preserve"> after </w:t>
      </w:r>
      <w:r w:rsidRPr="000D73CD">
        <w:t>receiving LP-WUS indicating wake-up</w:t>
      </w:r>
      <w:r>
        <w:t xml:space="preserve">. The main argument was that this may reduce paging latency. </w:t>
      </w:r>
      <w:r w:rsidR="00C33379">
        <w:t>In our view, dynamic PO essentially implies a new paging procedure</w:t>
      </w:r>
      <w:r w:rsidR="001B2C44">
        <w:t xml:space="preserve"> which requires</w:t>
      </w:r>
      <w:r w:rsidR="00D07685">
        <w:t xml:space="preserve"> further</w:t>
      </w:r>
      <w:r w:rsidR="001B2C44">
        <w:t xml:space="preserve"> RAN2 discussions</w:t>
      </w:r>
      <w:r w:rsidR="00712E17">
        <w:t>. It does not really help</w:t>
      </w:r>
      <w:r w:rsidR="001B2C44">
        <w:t xml:space="preserve"> to</w:t>
      </w:r>
      <w:r w:rsidR="00712E17">
        <w:t xml:space="preserve"> improve paging latency when used together with duty-cycled WUR monitoring. On the other hand, it will introduce large </w:t>
      </w:r>
      <w:r w:rsidR="00C33379">
        <w:t>specification impacts</w:t>
      </w:r>
      <w:r w:rsidR="00D07685">
        <w:t xml:space="preserve"> as s</w:t>
      </w:r>
      <w:r w:rsidR="00F91098">
        <w:t>everal details will need to be specified</w:t>
      </w:r>
      <w:r w:rsidR="00712E17">
        <w:t xml:space="preserve"> to support dynamic PO</w:t>
      </w:r>
      <w:r w:rsidR="00F91098">
        <w:t xml:space="preserve">, e.g., new definition of dynamic PO, </w:t>
      </w:r>
      <w:r w:rsidR="001B2C44">
        <w:t xml:space="preserve">how to handle a large payload potentially needed without impacting LP-WUS coverage, </w:t>
      </w:r>
      <w:r w:rsidR="00F91098">
        <w:t xml:space="preserve">how to handle </w:t>
      </w:r>
      <w:r w:rsidR="00F91098" w:rsidRPr="00F91098">
        <w:t xml:space="preserve">different </w:t>
      </w:r>
      <w:r w:rsidR="00F91098">
        <w:t>UE wake-up/</w:t>
      </w:r>
      <w:r w:rsidR="00F91098" w:rsidRPr="00F91098">
        <w:t>transition time capabilities</w:t>
      </w:r>
      <w:r w:rsidR="00F91098">
        <w:t>, and</w:t>
      </w:r>
      <w:r w:rsidR="00F91098" w:rsidRPr="00F91098">
        <w:t xml:space="preserve"> </w:t>
      </w:r>
      <w:r w:rsidR="00F91098">
        <w:t>UE behavior on how to monitor paging when dynamic PO and legacy PO coexist. Moreover, in some scenarios, introducing dynamic PO may even impact UE power consumption negatively as the UE can miss receiv</w:t>
      </w:r>
      <w:r w:rsidR="00712E17">
        <w:t>ing</w:t>
      </w:r>
      <w:r w:rsidR="00F91098">
        <w:t xml:space="preserve"> paging PDCCH in dynamic PO</w:t>
      </w:r>
      <w:r w:rsidR="00207692">
        <w:t xml:space="preserve"> and need to additionally monitor </w:t>
      </w:r>
      <w:r w:rsidR="00712E17">
        <w:t xml:space="preserve">the </w:t>
      </w:r>
      <w:r w:rsidR="00207692">
        <w:t>legacy PO</w:t>
      </w:r>
      <w:r w:rsidR="00F91098">
        <w:t xml:space="preserve">. </w:t>
      </w:r>
    </w:p>
    <w:p w14:paraId="0385E703" w14:textId="48EC122A" w:rsidR="00BC7AF1" w:rsidRPr="00D07685" w:rsidRDefault="00584EF0" w:rsidP="00344608">
      <w:pPr>
        <w:pStyle w:val="ArialText"/>
      </w:pPr>
      <w:r>
        <w:rPr>
          <w:lang w:val="en-GB"/>
        </w:rPr>
        <w:t xml:space="preserve">It may be argued that dynamic PO </w:t>
      </w:r>
      <w:r w:rsidR="001B2C44">
        <w:rPr>
          <w:lang w:val="en-GB"/>
        </w:rPr>
        <w:t>can</w:t>
      </w:r>
      <w:r>
        <w:rPr>
          <w:lang w:val="en-GB"/>
        </w:rPr>
        <w:t xml:space="preserve"> be useful when LP-WUR continuously monitor</w:t>
      </w:r>
      <w:r w:rsidR="00E87A9F">
        <w:rPr>
          <w:lang w:val="en-GB"/>
        </w:rPr>
        <w:t>s</w:t>
      </w:r>
      <w:r>
        <w:rPr>
          <w:lang w:val="en-GB"/>
        </w:rPr>
        <w:t xml:space="preserve"> LP-WUS</w:t>
      </w:r>
      <w:r w:rsidR="00E87A9F">
        <w:rPr>
          <w:lang w:val="en-GB"/>
        </w:rPr>
        <w:t xml:space="preserve">. </w:t>
      </w:r>
      <w:r>
        <w:rPr>
          <w:lang w:val="en-GB"/>
        </w:rPr>
        <w:t>However, continuous monitoring of LP-WUS by LP-WUR will lead to higher chance of false wake-up of the UE main receiver which in turn can lead to higher overall UE power consumption</w:t>
      </w:r>
      <w:r w:rsidR="00E87A9F">
        <w:rPr>
          <w:lang w:val="en-GB"/>
        </w:rPr>
        <w:t xml:space="preserve"> (</w:t>
      </w:r>
      <w:r w:rsidR="00E87A9F" w:rsidRPr="000929ED">
        <w:rPr>
          <w:lang w:val="en-GB"/>
        </w:rPr>
        <w:t>see</w:t>
      </w:r>
      <w:r w:rsidR="000929ED">
        <w:rPr>
          <w:lang w:val="en-GB"/>
        </w:rPr>
        <w:t xml:space="preserve"> </w:t>
      </w:r>
      <w:r w:rsidR="000929ED">
        <w:rPr>
          <w:highlight w:val="yellow"/>
          <w:lang w:val="en-GB"/>
        </w:rPr>
        <w:fldChar w:fldCharType="begin"/>
      </w:r>
      <w:r w:rsidR="000929ED">
        <w:rPr>
          <w:lang w:val="en-GB"/>
        </w:rPr>
        <w:instrText xml:space="preserve"> REF _Ref162971176 \h </w:instrText>
      </w:r>
      <w:r w:rsidR="000929ED">
        <w:rPr>
          <w:highlight w:val="yellow"/>
          <w:lang w:val="en-GB"/>
        </w:rPr>
      </w:r>
      <w:r w:rsidR="000929ED">
        <w:rPr>
          <w:highlight w:val="yellow"/>
          <w:lang w:val="en-GB"/>
        </w:rPr>
        <w:fldChar w:fldCharType="separate"/>
      </w:r>
      <w:r w:rsidR="000929ED">
        <w:t xml:space="preserve">Figure </w:t>
      </w:r>
      <w:r w:rsidR="000929ED">
        <w:rPr>
          <w:noProof/>
        </w:rPr>
        <w:t>2</w:t>
      </w:r>
      <w:r w:rsidR="000929ED">
        <w:rPr>
          <w:highlight w:val="yellow"/>
          <w:lang w:val="en-GB"/>
        </w:rPr>
        <w:fldChar w:fldCharType="end"/>
      </w:r>
      <w:r w:rsidR="00E87A9F">
        <w:rPr>
          <w:lang w:val="en-GB"/>
        </w:rPr>
        <w:t xml:space="preserve">). </w:t>
      </w:r>
      <w:r w:rsidR="005A4B30">
        <w:rPr>
          <w:lang w:val="en-GB"/>
        </w:rPr>
        <w:t>Given the</w:t>
      </w:r>
      <w:r w:rsidR="00E87A9F">
        <w:rPr>
          <w:lang w:val="en-GB"/>
        </w:rPr>
        <w:t xml:space="preserve"> </w:t>
      </w:r>
      <w:r w:rsidR="005A4B30">
        <w:rPr>
          <w:lang w:val="en-GB"/>
        </w:rPr>
        <w:t xml:space="preserve">large impacts described above, the potential latency benefit of dynamic PO is </w:t>
      </w:r>
      <w:r w:rsidR="00D30982">
        <w:rPr>
          <w:lang w:val="en-GB"/>
        </w:rPr>
        <w:t xml:space="preserve">therefore </w:t>
      </w:r>
      <w:r w:rsidR="005A4B30">
        <w:rPr>
          <w:lang w:val="en-GB"/>
        </w:rPr>
        <w:t>not justified.</w:t>
      </w:r>
    </w:p>
    <w:p w14:paraId="03DA226E" w14:textId="476272BF" w:rsidR="00C27AF9" w:rsidRDefault="00D07685" w:rsidP="00C27AF9">
      <w:pPr>
        <w:pStyle w:val="ArialText"/>
        <w:keepNext/>
        <w:jc w:val="center"/>
      </w:pPr>
      <w:r>
        <w:rPr>
          <w:noProof/>
        </w:rPr>
        <w:drawing>
          <wp:inline distT="0" distB="0" distL="0" distR="0" wp14:anchorId="4E1AE2D0" wp14:editId="3B0DFC2B">
            <wp:extent cx="4098416" cy="236912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3985" cy="2383908"/>
                    </a:xfrm>
                    <a:prstGeom prst="rect">
                      <a:avLst/>
                    </a:prstGeom>
                    <a:noFill/>
                  </pic:spPr>
                </pic:pic>
              </a:graphicData>
            </a:graphic>
          </wp:inline>
        </w:drawing>
      </w:r>
    </w:p>
    <w:p w14:paraId="2FD51B71" w14:textId="15CAE235" w:rsidR="00FE25DB" w:rsidRDefault="00C27AF9" w:rsidP="00C27AF9">
      <w:pPr>
        <w:pStyle w:val="Caption"/>
        <w:jc w:val="center"/>
        <w:rPr>
          <w:lang w:val="en-GB"/>
        </w:rPr>
      </w:pPr>
      <w:bookmarkStart w:id="7" w:name="_Ref162971176"/>
      <w:r>
        <w:t xml:space="preserve">Figure </w:t>
      </w:r>
      <w:r>
        <w:fldChar w:fldCharType="begin"/>
      </w:r>
      <w:r>
        <w:instrText xml:space="preserve"> SEQ Figure \* ARABIC </w:instrText>
      </w:r>
      <w:r>
        <w:fldChar w:fldCharType="separate"/>
      </w:r>
      <w:r w:rsidR="00AB1274">
        <w:rPr>
          <w:noProof/>
        </w:rPr>
        <w:t>2</w:t>
      </w:r>
      <w:r>
        <w:fldChar w:fldCharType="end"/>
      </w:r>
      <w:bookmarkEnd w:id="7"/>
      <w:r w:rsidR="00DB6101">
        <w:t xml:space="preserve"> Power saving gain compared to I-DRX with 1.28s cycle length, assuming </w:t>
      </w:r>
      <w:r w:rsidR="00B54EE2">
        <w:t>0.1% false alarm rate per MO and 1% paging rate per 1.</w:t>
      </w:r>
      <w:r w:rsidR="00D92E31">
        <w:t>28s.</w:t>
      </w:r>
      <w:r w:rsidR="00894D8D">
        <w:t xml:space="preserve"> </w:t>
      </w:r>
    </w:p>
    <w:p w14:paraId="44A88AEB" w14:textId="77777777" w:rsidR="00BC7AF1" w:rsidRDefault="00BC7AF1" w:rsidP="00344608">
      <w:pPr>
        <w:pStyle w:val="ArialText"/>
      </w:pPr>
    </w:p>
    <w:p w14:paraId="0F316D84" w14:textId="08A9B3B1" w:rsidR="00250FD2" w:rsidRDefault="00BF0340" w:rsidP="000A0D2F">
      <w:pPr>
        <w:pStyle w:val="Observation"/>
      </w:pPr>
      <w:bookmarkStart w:id="8" w:name="_Toc163174662"/>
      <w:bookmarkStart w:id="9" w:name="_Toc163199995"/>
      <w:r>
        <w:t>Dynamic PO does not provide any meaningful latency gain but can lead to</w:t>
      </w:r>
      <w:r w:rsidR="00250FD2">
        <w:t xml:space="preserve"> large </w:t>
      </w:r>
      <w:r>
        <w:t>impacts on specifications and implementations</w:t>
      </w:r>
      <w:r w:rsidR="00250FD2" w:rsidRPr="00456322">
        <w:t>.</w:t>
      </w:r>
      <w:bookmarkEnd w:id="8"/>
      <w:bookmarkEnd w:id="9"/>
    </w:p>
    <w:p w14:paraId="764318D9" w14:textId="11E8242D" w:rsidR="00250FD2" w:rsidRPr="00317683" w:rsidRDefault="00250FD2" w:rsidP="00250FD2">
      <w:pPr>
        <w:pStyle w:val="Proposal"/>
        <w:spacing w:after="240"/>
      </w:pPr>
      <w:bookmarkStart w:id="10" w:name="_Toc163174667"/>
      <w:bookmarkStart w:id="11" w:name="_Toc163200091"/>
      <w:r>
        <w:t>Do not support</w:t>
      </w:r>
      <w:r w:rsidRPr="00250FD2">
        <w:t xml:space="preserve"> </w:t>
      </w:r>
      <w:r>
        <w:t xml:space="preserve">UE monitoring dynamic PO after </w:t>
      </w:r>
      <w:r w:rsidRPr="000D73CD">
        <w:t>receiving LP-WUS indicating wake-up</w:t>
      </w:r>
      <w:r w:rsidRPr="00317683">
        <w:t>.</w:t>
      </w:r>
      <w:bookmarkEnd w:id="10"/>
      <w:bookmarkEnd w:id="11"/>
    </w:p>
    <w:p w14:paraId="45153169" w14:textId="5A0BAF66"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similar to the paging PDCCH requirement should be met.</w:t>
      </w:r>
    </w:p>
    <w:p w14:paraId="5990D982" w14:textId="42163283" w:rsidR="00344608" w:rsidRDefault="00344608" w:rsidP="003912B3">
      <w:pPr>
        <w:pStyle w:val="Proposal"/>
      </w:pPr>
      <w:bookmarkStart w:id="12" w:name="_Toc163174668"/>
      <w:bookmarkStart w:id="13" w:name="_Toc163200092"/>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12"/>
      <w:bookmarkEnd w:id="13"/>
    </w:p>
    <w:p w14:paraId="6898F707" w14:textId="77777777"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There are different options for system information to use for LP-WUS configuration. For example, it can be done in SIB1, similar to the approach used for Rel-17 PEI configuration, or in a new SIB. If a new SIB is introduced, it can be further discussed whether it should be an “on-demand” SIB or not.</w:t>
      </w:r>
    </w:p>
    <w:p w14:paraId="47EACCC9" w14:textId="2EF81B3C" w:rsidR="00BD1635" w:rsidRDefault="00062677" w:rsidP="00EC287D">
      <w:pPr>
        <w:jc w:val="both"/>
        <w:rPr>
          <w:lang w:eastAsia="en-GB"/>
        </w:rPr>
      </w:pPr>
      <w:r>
        <w:rPr>
          <w:lang w:eastAsia="en-GB"/>
        </w:rPr>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 xml:space="preserve">main receiver as in legacy.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4" w:name="_Toc163174669"/>
      <w:bookmarkStart w:id="15" w:name="_Toc163200093"/>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4"/>
      <w:bookmarkEnd w:id="15"/>
      <w:r w:rsidR="00A82AA3">
        <w:t xml:space="preserve"> </w:t>
      </w:r>
    </w:p>
    <w:p w14:paraId="08BAE631" w14:textId="09C3971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3A0158" w:rsidRPr="00E91DFF">
        <w:rPr>
          <w:lang w:eastAsia="en-GB"/>
        </w:rPr>
        <w:t xml:space="preserve">, </w:t>
      </w:r>
      <w:r w:rsidR="001859FC">
        <w:rPr>
          <w:lang w:eastAsia="en-GB"/>
        </w:rPr>
        <w:t xml:space="preserve">or </w:t>
      </w:r>
      <w:r w:rsidR="00E91DFF" w:rsidRPr="00E91DFF">
        <w:rPr>
          <w:lang w:eastAsia="en-GB"/>
        </w:rPr>
        <w:t>OOK</w:t>
      </w:r>
      <w:r w:rsidR="00522BC4">
        <w:rPr>
          <w:lang w:eastAsia="en-GB"/>
        </w:rPr>
        <w:t>-based</w:t>
      </w:r>
      <w:r w:rsidR="00E91DFF" w:rsidRPr="00E91DFF">
        <w:rPr>
          <w:lang w:eastAsia="en-GB"/>
        </w:rPr>
        <w:t xml:space="preserve"> WUR</w:t>
      </w:r>
      <w:r w:rsidR="00E91DFF">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EC287D">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EC287D">
      <w:pPr>
        <w:pStyle w:val="Observation"/>
      </w:pPr>
      <w:bookmarkStart w:id="16" w:name="_Toc163174663"/>
      <w:bookmarkStart w:id="17" w:name="_Toc163199996"/>
      <w:r>
        <w:t>Fro</w:t>
      </w:r>
      <w:r w:rsidRPr="00456322">
        <w:t>m an eco-system support point of view, it would be beneficial to allow NW to configure the type of WUR capabilities which are supported in a cell.</w:t>
      </w:r>
      <w:bookmarkEnd w:id="16"/>
      <w:bookmarkEnd w:id="17"/>
    </w:p>
    <w:p w14:paraId="6891613E" w14:textId="377ACC17" w:rsidR="007F30F4" w:rsidRPr="00317683" w:rsidRDefault="00522BC4" w:rsidP="00EC287D">
      <w:pPr>
        <w:pStyle w:val="Proposal"/>
        <w:spacing w:after="240"/>
      </w:pPr>
      <w:bookmarkStart w:id="18" w:name="_Toc163174670"/>
      <w:bookmarkStart w:id="19" w:name="_Toc163200094"/>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 xml:space="preserve">or OFDM-based WUR only, </w:t>
      </w:r>
      <w:r w:rsidR="007F30F4" w:rsidRPr="00317683">
        <w:rPr>
          <w:lang w:eastAsia="en-GB"/>
        </w:rPr>
        <w:t>or OOK</w:t>
      </w:r>
      <w:r w:rsidR="00015FA9" w:rsidRPr="00317683">
        <w:rPr>
          <w:lang w:eastAsia="en-GB"/>
        </w:rPr>
        <w:t>-based</w:t>
      </w:r>
      <w:r w:rsidR="007F30F4" w:rsidRPr="00317683">
        <w:rPr>
          <w:lang w:eastAsia="en-GB"/>
        </w:rPr>
        <w:t xml:space="preserve"> WUR only</w:t>
      </w:r>
      <w:r w:rsidRPr="00317683">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8"/>
      <w:bookmarkEnd w:id="19"/>
    </w:p>
    <w:p w14:paraId="18400095" w14:textId="042CE7CD" w:rsidR="008C7B7F" w:rsidRDefault="006B6580" w:rsidP="00EC287D">
      <w:pPr>
        <w:rPr>
          <w:lang w:eastAsia="en-GB"/>
        </w:rPr>
      </w:pPr>
      <w:r>
        <w:rPr>
          <w:iCs/>
          <w:lang w:eastAsia="en-GB"/>
        </w:rPr>
        <w:t>In terms of</w:t>
      </w:r>
      <w:r w:rsidR="00DA3687">
        <w:rPr>
          <w:iCs/>
          <w:lang w:eastAsia="en-GB"/>
        </w:rPr>
        <w:t xml:space="preserve"> </w:t>
      </w:r>
      <w:r w:rsidR="00DF1B1B">
        <w:rPr>
          <w:lang w:eastAsia="en-GB"/>
        </w:rPr>
        <w:t>time and frequency domain resource configuration,</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EC287D">
      <w:pPr>
        <w:pStyle w:val="Proposal"/>
        <w:spacing w:after="240"/>
      </w:pPr>
      <w:bookmarkStart w:id="20" w:name="_Toc163174671"/>
      <w:bookmarkStart w:id="21" w:name="_Toc163200095"/>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20"/>
      <w:bookmarkEnd w:id="21"/>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6C622A81" w:rsidR="001B22BA" w:rsidRDefault="001B22BA" w:rsidP="00EC287D">
      <w:pPr>
        <w:pStyle w:val="BodyText"/>
      </w:pPr>
      <w:r>
        <w:t xml:space="preserve">It was agreed in RAN1#116 that </w:t>
      </w: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3117498E" w14:textId="3DD7A090" w:rsidR="007D6F60" w:rsidRDefault="0007055E" w:rsidP="00EC287D">
      <w:pPr>
        <w:rPr>
          <w:lang w:val="en-GB" w:eastAsia="ja-JP"/>
        </w:rPr>
      </w:pPr>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p>
    <w:p w14:paraId="7400A837" w14:textId="163AB55F" w:rsidR="0007055E" w:rsidRPr="0058777D" w:rsidRDefault="0007055E" w:rsidP="0058777D">
      <w:pPr>
        <w:pStyle w:val="BodyText"/>
      </w:pPr>
      <w:r>
        <w:rPr>
          <w:lang w:val="en-GB" w:eastAsia="ja-JP"/>
        </w:rPr>
        <w:t>Given the existing configuration of paging occasions/frame, it is sufficient to simply configure an additional time offset parameter between LP-WUS occasion and UE paging occasion/frame. Similar to PEI, the time o</w:t>
      </w:r>
      <w:r w:rsidRPr="0007055E">
        <w:rPr>
          <w:lang w:val="en-GB" w:eastAsia="ja-JP"/>
        </w:rPr>
        <w:t>ffset</w:t>
      </w:r>
      <w:r>
        <w:rPr>
          <w:lang w:val="en-GB" w:eastAsia="ja-JP"/>
        </w:rPr>
        <w:t xml:space="preserve"> can be</w:t>
      </w:r>
      <w:r w:rsidRPr="0007055E">
        <w:rPr>
          <w:lang w:val="en-GB" w:eastAsia="ja-JP"/>
        </w:rPr>
        <w:t xml:space="preserve"> </w:t>
      </w:r>
      <w:r w:rsidR="007D6F60">
        <w:rPr>
          <w:lang w:val="en-GB" w:eastAsia="ja-JP"/>
        </w:rPr>
        <w:t xml:space="preserve">defined </w:t>
      </w:r>
      <w:r w:rsidRPr="0007055E">
        <w:rPr>
          <w:lang w:val="en-GB" w:eastAsia="ja-JP"/>
        </w:rPr>
        <w:t>in number of frames from the start of a reference frame for LO to the start of a first paging frame of the paging frames associated with the LO</w:t>
      </w:r>
      <w:r>
        <w:rPr>
          <w:lang w:val="en-GB" w:eastAsia="ja-JP"/>
        </w:rPr>
        <w:t>.</w:t>
      </w:r>
      <w:r w:rsidR="0058777D" w:rsidRPr="0058777D">
        <w:rPr>
          <w:lang w:eastAsia="en-GB"/>
        </w:rPr>
        <w:t xml:space="preserve"> </w:t>
      </w:r>
      <w:r w:rsidR="0058777D">
        <w:rPr>
          <w:lang w:eastAsia="en-GB"/>
        </w:rPr>
        <w:t>Th</w:t>
      </w:r>
      <w:r w:rsidR="00AA4EEB">
        <w:rPr>
          <w:lang w:eastAsia="en-GB"/>
        </w:rPr>
        <w:t>is</w:t>
      </w:r>
      <w:r w:rsidR="0058777D">
        <w:rPr>
          <w:lang w:eastAsia="en-GB"/>
        </w:rPr>
        <w:t xml:space="preserve"> t</w:t>
      </w:r>
      <w:r w:rsidR="0058777D">
        <w:rPr>
          <w:lang w:val="en-GB" w:eastAsia="ja-JP"/>
        </w:rPr>
        <w:t>ime offset can be configured to cover at least the time required for UE to wake up the main receiver. For operation in RRC-IDLE/INACTIVE, it is important that the network only need</w:t>
      </w:r>
      <w:r w:rsidR="008D59FD">
        <w:rPr>
          <w:lang w:val="en-GB" w:eastAsia="ja-JP"/>
        </w:rPr>
        <w:t>s</w:t>
      </w:r>
      <w:r w:rsidR="0058777D">
        <w:rPr>
          <w:lang w:val="en-GB" w:eastAsia="ja-JP"/>
        </w:rPr>
        <w:t xml:space="preserve"> to configure a single time offset value that is applicable to all UEs operating with LP-WUS.</w:t>
      </w:r>
    </w:p>
    <w:p w14:paraId="78126A71" w14:textId="69DC1B69" w:rsidR="004A736B" w:rsidRDefault="0007055E" w:rsidP="00EC287D">
      <w:pPr>
        <w:pStyle w:val="BodyText"/>
      </w:pPr>
      <w:r>
        <w:t xml:space="preserve">Each LP-WUS </w:t>
      </w:r>
      <w:r w:rsidR="009D6E47">
        <w:t>MO</w:t>
      </w:r>
      <w:r>
        <w:t xml:space="preserve"> can be described by a starting symbol of possible LP-WUS transmission within LO. The duration of the LP-WUS </w:t>
      </w:r>
      <w:r w:rsidR="009D6E47">
        <w:t>MO</w:t>
      </w:r>
      <w:r>
        <w:t xml:space="preserve"> can then be determined from the starting symbol and LP-WUS transmission duration which can be configured separately.</w:t>
      </w:r>
      <w:r w:rsidR="009D6E47">
        <w:t xml:space="preserve"> </w:t>
      </w:r>
    </w:p>
    <w:p w14:paraId="1FC1BF38" w14:textId="28069F4E" w:rsidR="008C08A0" w:rsidRDefault="00D225ED" w:rsidP="00EC287D">
      <w:pPr>
        <w:pStyle w:val="BodyText"/>
      </w:pPr>
      <w:r>
        <w:t>Similar to PEI, t</w:t>
      </w:r>
      <w:r w:rsidR="009D6E47">
        <w:t xml:space="preserve">here can be </w:t>
      </w:r>
      <w:r w:rsidR="009D6E47" w:rsidRPr="009D6E47">
        <w:rPr>
          <w:i/>
          <w:iCs/>
        </w:rPr>
        <w:t>S</w:t>
      </w:r>
      <w:r>
        <w:rPr>
          <w:i/>
          <w:iCs/>
        </w:rPr>
        <w:t>*X</w:t>
      </w:r>
      <w:r w:rsidR="009D6E47">
        <w:t xml:space="preserve"> consecutive LP-WUS MOs within LO, where </w:t>
      </w:r>
      <w:r w:rsidR="009D6E47" w:rsidRPr="009D6E47">
        <w:rPr>
          <w:i/>
          <w:iCs/>
        </w:rPr>
        <w:t>S</w:t>
      </w:r>
      <w:r w:rsidR="009D6E47">
        <w:t xml:space="preserve"> </w:t>
      </w:r>
      <w:r>
        <w:t>is</w:t>
      </w:r>
      <w:r w:rsidR="009D6E47">
        <w:t xml:space="preserve"> the number of actual transmitted </w:t>
      </w:r>
      <w:r w:rsidR="000C7D06">
        <w:t>SSB</w:t>
      </w:r>
      <w:r w:rsidR="009D6E47">
        <w:t xml:space="preserve"> determined according to </w:t>
      </w:r>
      <w:r>
        <w:t>a</w:t>
      </w:r>
      <w:r w:rsidR="009D6E47">
        <w:t xml:space="preserve"> configuration in SIB</w:t>
      </w:r>
      <w:r w:rsidR="00CE08DD">
        <w:t>1</w:t>
      </w:r>
      <w:r>
        <w:t xml:space="preserve"> and </w:t>
      </w:r>
      <w:r w:rsidRPr="00D225ED">
        <w:rPr>
          <w:i/>
          <w:iCs/>
        </w:rPr>
        <w:t>X</w:t>
      </w:r>
      <w:r>
        <w:t xml:space="preserve"> is the configured number of LP-WUS MOs per SSB in LO</w:t>
      </w:r>
      <w:r w:rsidR="009D6E47">
        <w:t>.</w:t>
      </w:r>
      <w:r>
        <w:t xml:space="preserve"> Note that UE would already acquire an SSB prior to receiving the LP-WUS configuration. </w:t>
      </w:r>
      <w:r w:rsidR="009D6E47">
        <w:t xml:space="preserve">When UE detects LP-WUS within its LO, the UE is not required to monitor the subsequent MO(s) associated with the same LO. </w:t>
      </w:r>
    </w:p>
    <w:p w14:paraId="0209AB91" w14:textId="419853B5" w:rsidR="0058777D" w:rsidRPr="0058777D" w:rsidRDefault="0007055E" w:rsidP="00EC287D">
      <w:pPr>
        <w:pStyle w:val="Proposal"/>
        <w:spacing w:after="240"/>
        <w:rPr>
          <w:lang w:val="en-GB" w:eastAsia="ja-JP"/>
        </w:rPr>
      </w:pPr>
      <w:bookmarkStart w:id="22" w:name="_Toc163200096"/>
      <w:bookmarkStart w:id="23" w:name="_Toc163174672"/>
      <w:r>
        <w:rPr>
          <w:lang w:eastAsia="en-GB"/>
        </w:rPr>
        <w:t>For LP-WUS monitoring in RRC-IDLE/INACTIVE,</w:t>
      </w:r>
      <w:r>
        <w:rPr>
          <w:lang w:eastAsia="en-GB"/>
        </w:rPr>
        <w:br/>
        <w:t>- Introduce t</w:t>
      </w:r>
      <w:r>
        <w:rPr>
          <w:lang w:val="en-GB" w:eastAsia="ja-JP"/>
        </w:rPr>
        <w:t>ime offset between LP-WUS occasion (LO) and UE paging occasion/frame</w:t>
      </w:r>
      <w:r w:rsidR="009D6E47">
        <w:rPr>
          <w:lang w:val="en-GB" w:eastAsia="ja-JP"/>
        </w:rPr>
        <w:t>.</w:t>
      </w:r>
      <w:r>
        <w:rPr>
          <w:lang w:eastAsia="en-GB"/>
        </w:rPr>
        <w:t xml:space="preserve"> </w:t>
      </w:r>
      <w:r>
        <w:rPr>
          <w:lang w:eastAsia="en-GB"/>
        </w:rPr>
        <w:br/>
        <w:t xml:space="preserve">- </w:t>
      </w:r>
      <w:r w:rsidRPr="0007055E">
        <w:rPr>
          <w:lang w:eastAsia="en-GB"/>
        </w:rPr>
        <w:t xml:space="preserve">LP-WUS monitoring occasion </w:t>
      </w:r>
      <w:r>
        <w:rPr>
          <w:lang w:eastAsia="en-GB"/>
        </w:rPr>
        <w:t>is</w:t>
      </w:r>
      <w:r w:rsidRPr="0007055E">
        <w:rPr>
          <w:lang w:eastAsia="en-GB"/>
        </w:rPr>
        <w:t xml:space="preserve"> described by a starting symbol of </w:t>
      </w:r>
      <w:r>
        <w:rPr>
          <w:lang w:eastAsia="en-GB"/>
        </w:rPr>
        <w:t xml:space="preserve">possible </w:t>
      </w:r>
      <w:r w:rsidRPr="0007055E">
        <w:rPr>
          <w:lang w:eastAsia="en-GB"/>
        </w:rPr>
        <w:t>LP-WUS transmission within the LO</w:t>
      </w:r>
      <w:r w:rsidR="009D6E47">
        <w:rPr>
          <w:lang w:eastAsia="en-GB"/>
        </w:rPr>
        <w:t>.</w:t>
      </w:r>
      <w:bookmarkEnd w:id="22"/>
      <w:r w:rsidR="009D6E47">
        <w:rPr>
          <w:lang w:eastAsia="en-GB"/>
        </w:rPr>
        <w:br/>
      </w:r>
      <w:bookmarkEnd w:id="23"/>
    </w:p>
    <w:p w14:paraId="28441125" w14:textId="27992161" w:rsidR="001B22BA" w:rsidRDefault="001B22BA" w:rsidP="00EC287D">
      <w:pPr>
        <w:pStyle w:val="BodyText"/>
      </w:pPr>
      <w:r w:rsidRPr="001B22BA">
        <w:t>Different LP-WUS MOs may correspond to different beams in multi-beam operation</w:t>
      </w:r>
      <w:r>
        <w:t xml:space="preserve">. Similar to PEI, the UE can assume the same LP-WUS </w:t>
      </w:r>
      <w:r w:rsidR="00E02701">
        <w:t>information</w:t>
      </w:r>
      <w:r>
        <w:t xml:space="preserve"> in all transmitted beams and the selection of the beam(s) for the reception of the LP-WUS can be up to UE implementation.</w:t>
      </w:r>
    </w:p>
    <w:p w14:paraId="7E944530" w14:textId="2D8941DC" w:rsidR="0007055E" w:rsidRDefault="009D6E47" w:rsidP="00EC287D">
      <w:pPr>
        <w:pStyle w:val="Proposal"/>
        <w:spacing w:after="240"/>
      </w:pPr>
      <w:bookmarkStart w:id="24" w:name="_Toc163174673"/>
      <w:bookmarkStart w:id="25" w:name="_Toc163200097"/>
      <w:r>
        <w:rPr>
          <w:lang w:eastAsia="en-GB"/>
        </w:rPr>
        <w:t>I</w:t>
      </w:r>
      <w:r w:rsidRPr="001B22BA">
        <w:t>n multi-beam operation</w:t>
      </w:r>
      <w:r>
        <w:rPr>
          <w:lang w:eastAsia="en-GB"/>
        </w:rPr>
        <w:t xml:space="preserve">, </w:t>
      </w:r>
      <w:r>
        <w:t xml:space="preserve">the UE can assume that the same LP-WUS </w:t>
      </w:r>
      <w:r w:rsidR="00E02701">
        <w:t>information is provided</w:t>
      </w:r>
      <w:r>
        <w:t xml:space="preserve"> in all transmitted beams</w:t>
      </w:r>
      <w:r>
        <w:rPr>
          <w:lang w:eastAsia="en-GB"/>
        </w:rPr>
        <w:t>.</w:t>
      </w:r>
      <w:bookmarkEnd w:id="24"/>
      <w:bookmarkEnd w:id="25"/>
    </w:p>
    <w:p w14:paraId="500C0A4D" w14:textId="310A7E90" w:rsidR="0007055E" w:rsidRDefault="00EB0F52" w:rsidP="00EC287D">
      <w:pPr>
        <w:rPr>
          <w:lang w:val="en-GB" w:eastAsia="ja-JP"/>
        </w:rPr>
      </w:pPr>
      <w:r>
        <w:rPr>
          <w:lang w:val="en-GB" w:eastAsia="ja-JP"/>
        </w:rPr>
        <w:t>Apart from duty-cycled monitoring, c</w:t>
      </w:r>
      <w:r w:rsidR="0007055E">
        <w:rPr>
          <w:lang w:val="en-GB" w:eastAsia="ja-JP"/>
        </w:rPr>
        <w:t>ontinuous monitoring of LP-WUS by LP-WUR</w:t>
      </w:r>
      <w:r>
        <w:rPr>
          <w:lang w:val="en-GB" w:eastAsia="ja-JP"/>
        </w:rPr>
        <w:t xml:space="preserve"> was considered during the SI. </w:t>
      </w:r>
      <w:r w:rsidR="00123A3F">
        <w:rPr>
          <w:lang w:val="en-GB" w:eastAsia="ja-JP"/>
        </w:rPr>
        <w:t>It</w:t>
      </w:r>
      <w:r>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Pr>
          <w:lang w:val="en-GB" w:eastAsia="ja-JP"/>
        </w:rPr>
        <w:t xml:space="preserve"> (See</w:t>
      </w:r>
      <w:r w:rsidR="008B3686">
        <w:rPr>
          <w:lang w:val="en-GB" w:eastAsia="ja-JP"/>
        </w:rPr>
        <w:t xml:space="preserve"> e.g.,</w:t>
      </w:r>
      <w:r>
        <w:rPr>
          <w:lang w:val="en-GB" w:eastAsia="ja-JP"/>
        </w:rPr>
        <w:t xml:space="preserve"> </w:t>
      </w:r>
      <w:r>
        <w:rPr>
          <w:lang w:val="en-GB" w:eastAsia="ja-JP"/>
        </w:rPr>
        <w:fldChar w:fldCharType="begin"/>
      </w:r>
      <w:r>
        <w:rPr>
          <w:lang w:val="en-GB" w:eastAsia="ja-JP"/>
        </w:rPr>
        <w:instrText xml:space="preserve"> REF _Ref162971176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26" w:name="_Toc158651152"/>
      <w:bookmarkStart w:id="27" w:name="_Toc158651153"/>
      <w:bookmarkStart w:id="28" w:name="_Toc158651154"/>
      <w:bookmarkStart w:id="29" w:name="_Toc158651155"/>
      <w:bookmarkStart w:id="30" w:name="_Toc158651156"/>
      <w:bookmarkStart w:id="31" w:name="_Toc158651157"/>
      <w:bookmarkStart w:id="32" w:name="_Toc158651158"/>
      <w:bookmarkStart w:id="33" w:name="_Toc158651159"/>
      <w:bookmarkStart w:id="34" w:name="_Toc158651160"/>
      <w:bookmarkStart w:id="35" w:name="_Toc158651161"/>
      <w:bookmarkStart w:id="36" w:name="_Toc163174674"/>
      <w:bookmarkStart w:id="37" w:name="_Toc163200098"/>
      <w:bookmarkEnd w:id="26"/>
      <w:bookmarkEnd w:id="27"/>
      <w:bookmarkEnd w:id="28"/>
      <w:bookmarkEnd w:id="29"/>
      <w:bookmarkEnd w:id="30"/>
      <w:bookmarkEnd w:id="31"/>
      <w:bookmarkEnd w:id="32"/>
      <w:bookmarkEnd w:id="33"/>
      <w:bookmarkEnd w:id="34"/>
      <w:bookmarkEnd w:id="35"/>
      <w:r>
        <w:rPr>
          <w:lang w:eastAsia="en-GB"/>
        </w:rPr>
        <w:t xml:space="preserve">Support only </w:t>
      </w:r>
      <w:r w:rsidR="00DD1F80">
        <w:rPr>
          <w:lang w:eastAsia="en-GB"/>
        </w:rPr>
        <w:t xml:space="preserve">configuration of </w:t>
      </w:r>
      <w:r>
        <w:rPr>
          <w:lang w:eastAsia="en-GB"/>
        </w:rPr>
        <w:t>duty-cycled WUR monitoring in Rel-19.</w:t>
      </w:r>
      <w:bookmarkEnd w:id="36"/>
      <w:bookmarkEnd w:id="37"/>
    </w:p>
    <w:p w14:paraId="493C7025" w14:textId="77777777" w:rsidR="00A02616" w:rsidRDefault="00A02616" w:rsidP="00A02616">
      <w:pPr>
        <w:pStyle w:val="Heading2"/>
      </w:pPr>
      <w:r>
        <w:t>3.3</w:t>
      </w:r>
      <w:r>
        <w:tab/>
        <w:t>eDRX</w:t>
      </w:r>
      <w:r w:rsidRPr="009F783D">
        <w:t xml:space="preserve"> </w:t>
      </w:r>
    </w:p>
    <w:p w14:paraId="2EA71E46" w14:textId="77777777" w:rsidR="00A02616" w:rsidRPr="00172145" w:rsidRDefault="00A02616" w:rsidP="00A02616">
      <w:pPr>
        <w:pStyle w:val="BodyText"/>
      </w:pPr>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eDRX feature was introduced for such use cases with low paging rate, which enables low energy consumption. However, as illustrated in </w:t>
      </w:r>
      <w:r>
        <w:fldChar w:fldCharType="begin"/>
      </w:r>
      <w:r>
        <w:instrText xml:space="preserve"> REF _Ref163048880 \h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5C412D4F" w14:textId="77777777" w:rsidR="00A02616" w:rsidRDefault="00A02616" w:rsidP="00A02616">
      <w:pPr>
        <w:pStyle w:val="BodyText"/>
        <w:keepNext/>
        <w:jc w:val="center"/>
      </w:pPr>
      <w:r>
        <w:rPr>
          <w:noProof/>
        </w:rPr>
        <w:drawing>
          <wp:inline distT="0" distB="0" distL="0" distR="0" wp14:anchorId="3E2E7E57" wp14:editId="18B19AC3">
            <wp:extent cx="4014276" cy="3181901"/>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2036" cy="3188052"/>
                    </a:xfrm>
                    <a:prstGeom prst="rect">
                      <a:avLst/>
                    </a:prstGeom>
                    <a:noFill/>
                  </pic:spPr>
                </pic:pic>
              </a:graphicData>
            </a:graphic>
          </wp:inline>
        </w:drawing>
      </w:r>
    </w:p>
    <w:p w14:paraId="4B740D49" w14:textId="77777777" w:rsidR="00A02616" w:rsidRDefault="00A02616" w:rsidP="00A02616">
      <w:pPr>
        <w:pStyle w:val="Caption"/>
        <w:jc w:val="center"/>
        <w:rPr>
          <w:highlight w:val="yellow"/>
        </w:rPr>
      </w:pPr>
      <w:bookmarkStart w:id="38" w:name="_Ref163048880"/>
      <w:r>
        <w:t xml:space="preserve">Figure </w:t>
      </w:r>
      <w:r>
        <w:fldChar w:fldCharType="begin"/>
      </w:r>
      <w:r>
        <w:instrText xml:space="preserve"> SEQ Figure \* ARABIC </w:instrText>
      </w:r>
      <w:r>
        <w:fldChar w:fldCharType="separate"/>
      </w:r>
      <w:r>
        <w:rPr>
          <w:noProof/>
        </w:rPr>
        <w:t>3</w:t>
      </w:r>
      <w:r>
        <w:fldChar w:fldCharType="end"/>
      </w:r>
      <w:bookmarkEnd w:id="38"/>
      <w:r>
        <w:t xml:space="preserve"> Power saving gain vs. average paging latency for different WUS duty cycle length.</w:t>
      </w:r>
    </w:p>
    <w:p w14:paraId="080BC9E2" w14:textId="2AB4191E" w:rsidR="00757E28" w:rsidRDefault="009F783D" w:rsidP="00EC287D">
      <w:pPr>
        <w:pStyle w:val="Heading2"/>
      </w:pPr>
      <w:r>
        <w:t>3</w:t>
      </w:r>
      <w:r w:rsidR="00757E28">
        <w:t>.</w:t>
      </w:r>
      <w:r w:rsidR="00EC287D">
        <w:t>4</w:t>
      </w:r>
      <w:r w:rsidR="00757E28">
        <w:tab/>
      </w:r>
      <w:r>
        <w:t>UE s</w:t>
      </w:r>
      <w:r w:rsidRPr="009F783D">
        <w:t xml:space="preserve">ub-grouping </w:t>
      </w:r>
    </w:p>
    <w:p w14:paraId="0A3D931E" w14:textId="77777777" w:rsidR="00E66C08" w:rsidRDefault="00EB5F0E" w:rsidP="00EC287D">
      <w:pPr>
        <w:pStyle w:val="BodyText"/>
      </w:pPr>
      <w:r>
        <w:t xml:space="preserve">LP-WUS is used to trigger UE to monitor paging. </w:t>
      </w:r>
      <w:r w:rsidR="00CA4476">
        <w:t>It</w:t>
      </w:r>
      <w:r>
        <w:t xml:space="preserve"> can include information about UE subgroup to indicate which UE to wake up upon detecting </w:t>
      </w:r>
      <w:r w:rsidR="004D61C9">
        <w:t>LP-</w:t>
      </w:r>
      <w:r>
        <w:t>WUS.</w:t>
      </w:r>
      <w:r w:rsidR="00F42284">
        <w:t xml:space="preserve"> </w:t>
      </w:r>
      <w:r w:rsidR="00AA2E28">
        <w:t>That is, o</w:t>
      </w:r>
      <w:r w:rsidR="00F42284">
        <w:t xml:space="preserve">nce </w:t>
      </w:r>
      <w:r w:rsidR="00AA2E28">
        <w:t>LP-</w:t>
      </w:r>
      <w:r w:rsidR="00F42284">
        <w:t>WUS is detected</w:t>
      </w:r>
      <w:r w:rsidR="00AA2E28">
        <w:t>/received</w:t>
      </w:r>
      <w:r w:rsidR="00F42284">
        <w:t>, only UE</w:t>
      </w:r>
      <w:r w:rsidR="002B6775">
        <w:t>s</w:t>
      </w:r>
      <w:r w:rsidR="00F42284">
        <w:t xml:space="preserve"> belonging to the indicated subgroup wake up to monitor paging</w:t>
      </w:r>
      <w:r w:rsidR="00AA2E28">
        <w:t xml:space="preserve"> message</w:t>
      </w:r>
      <w:r w:rsidR="00F42284">
        <w:t>.</w:t>
      </w:r>
      <w:r w:rsidR="003736ED" w:rsidRPr="003736ED">
        <w:t xml:space="preserve"> </w:t>
      </w:r>
    </w:p>
    <w:p w14:paraId="4E18A6A2" w14:textId="00CD5631" w:rsidR="00C9456A" w:rsidRDefault="004D61C9" w:rsidP="00EC287D">
      <w:pPr>
        <w:pStyle w:val="BodyText"/>
      </w:pPr>
      <w:r w:rsidRPr="00042C16">
        <w:t xml:space="preserve">In terms of </w:t>
      </w:r>
      <w:r w:rsidR="001750F5" w:rsidRPr="00042C16">
        <w:t>payload size</w:t>
      </w:r>
      <w:r w:rsidRPr="00042C16">
        <w:t xml:space="preserve">, </w:t>
      </w:r>
      <w:r>
        <w:t>similar</w:t>
      </w:r>
      <w:r w:rsidR="000838B5">
        <w:t xml:space="preserve"> </w:t>
      </w:r>
      <w:r w:rsidR="00160F14">
        <w:t xml:space="preserve">principle as in </w:t>
      </w:r>
      <w:r w:rsidR="00A4438B">
        <w:t xml:space="preserve">Rel-17 </w:t>
      </w:r>
      <w:r w:rsidR="00160F14">
        <w:t>PEI</w:t>
      </w:r>
      <w:r w:rsidRPr="004D61C9">
        <w:t xml:space="preserve"> </w:t>
      </w:r>
      <w:r>
        <w:t>configuration can be reused. For example, the</w:t>
      </w:r>
      <w:r w:rsidR="00160F14">
        <w:t xml:space="preserve"> number of UE </w:t>
      </w:r>
      <w:r w:rsidR="000838B5">
        <w:t>sub-group</w:t>
      </w:r>
      <w:r w:rsidR="00160F14">
        <w:t xml:space="preserve">s per </w:t>
      </w:r>
      <w:r w:rsidR="00F03D8B">
        <w:t>paging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1721CD">
        <w:t>)</w:t>
      </w:r>
      <w:r w:rsidR="00F03D8B">
        <w:t xml:space="preserve"> </w:t>
      </w:r>
      <w:r w:rsidR="00160F14">
        <w:t>and the number of paging occasions associated with LP-WUS monitoring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DF1CA1">
        <w:t>)</w:t>
      </w:r>
      <w:r w:rsidR="001721CD">
        <w:t xml:space="preserve"> </w:t>
      </w:r>
      <w:r>
        <w:t>can be separately configured</w:t>
      </w:r>
      <w:r w:rsidR="000838B5">
        <w:t>.</w:t>
      </w:r>
      <w:r>
        <w:t xml:space="preserve"> </w:t>
      </w:r>
      <w:r w:rsidR="00A13704">
        <w:t>Then the actual LP-WUS payload size can be determined</w:t>
      </w:r>
      <w:r w:rsidR="00A13704" w:rsidRPr="0098735C">
        <w:t xml:space="preserve"> </w:t>
      </w:r>
      <w:r w:rsidR="00A13704">
        <w:t xml:space="preserve">based on the configurations of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F419C1">
        <w:t xml:space="preserve"> and</w:t>
      </w:r>
      <w:r w:rsidR="00A1370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A13704">
        <w:t xml:space="preserve">. </w:t>
      </w:r>
      <w:r w:rsidR="00F76315">
        <w:t>Large LP-WUS payload size has negative</w:t>
      </w:r>
      <w:r w:rsidR="00A13704">
        <w:t xml:space="preserve"> impact on LP-WUS </w:t>
      </w:r>
      <w:r>
        <w:t>coverage</w:t>
      </w:r>
      <w:r w:rsidR="00F76315">
        <w:t>. Thus,</w:t>
      </w:r>
      <w:r>
        <w:t xml:space="preserve"> it is preferred to limit the </w:t>
      </w:r>
      <w:r w:rsidR="001721CD">
        <w:t xml:space="preserve">maximum </w:t>
      </w:r>
      <w:r>
        <w:t>WUS payload size</w:t>
      </w:r>
      <w:r w:rsidR="00F76315">
        <w:t>, e.g.,</w:t>
      </w:r>
      <w:r w:rsidR="001721CD">
        <w:t xml:space="preserve"> </w:t>
      </w:r>
      <w:r w:rsidR="00160F14">
        <w:t xml:space="preserve">to </w:t>
      </w:r>
      <w:r w:rsidR="00241A75">
        <w:t xml:space="preserve">no more than </w:t>
      </w:r>
      <w:r w:rsidR="00160F14">
        <w:t>8 bits.</w:t>
      </w:r>
      <w:r w:rsidR="001721CD">
        <w:t xml:space="preserve"> </w:t>
      </w:r>
      <w:r w:rsidR="00C9456A">
        <w:t>If the same bitmap association between</w:t>
      </w:r>
      <w:r w:rsidR="00C9456A" w:rsidRPr="0098735C">
        <w:t xml:space="preserve"> </w:t>
      </w:r>
      <w:r w:rsidR="00C9456A">
        <w:t>LP-</w:t>
      </w:r>
      <w:r w:rsidR="00C9456A" w:rsidRPr="0098735C">
        <w:t>WUS payload and UE subgroup</w:t>
      </w:r>
      <w:r w:rsidR="00C9456A">
        <w:t xml:space="preserve"> as in PEI is used, then it is possible to configure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C9456A">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C74338">
        <w:t xml:space="preserve"> </w:t>
      </w:r>
      <w:r w:rsidR="00C9456A">
        <w:t xml:space="preserve">flexibly such that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r>
          <w:rPr>
            <w:rFonts w:ascii="Cambria Math" w:hAnsi="Cambria Math"/>
          </w:rPr>
          <m:t>≤8</m:t>
        </m:r>
      </m:oMath>
      <w:r w:rsidR="00C9456A">
        <w:rPr>
          <w:rFonts w:eastAsiaTheme="minorEastAsia"/>
        </w:rPr>
        <w:t>.</w:t>
      </w:r>
    </w:p>
    <w:p w14:paraId="40117C3A" w14:textId="0EA764B1" w:rsidR="001721CD" w:rsidRDefault="00C9456A" w:rsidP="00EC287D">
      <w:pPr>
        <w:pStyle w:val="BodyText"/>
      </w:pPr>
      <w:r>
        <w:t>Bitmap association between</w:t>
      </w:r>
      <w:r w:rsidRPr="0098735C">
        <w:t xml:space="preserve"> </w:t>
      </w:r>
      <w:r>
        <w:t>LP-</w:t>
      </w:r>
      <w:r w:rsidRPr="0098735C">
        <w:t>WUS payload and UE subgroup</w:t>
      </w:r>
      <w:r w:rsidR="007A0DFC">
        <w:t>s</w:t>
      </w:r>
      <w:r>
        <w:t xml:space="preserve"> where each bit represents one UE subgroup </w:t>
      </w:r>
      <w:r w:rsidR="008B34AD">
        <w:t>provide flexibility</w:t>
      </w:r>
      <w:r>
        <w:t xml:space="preserve"> to wake up UEs in multiple subgroups simultaneously. Given the limited LP-WUS payload size, it can be further discussed whether the same bitmap </w:t>
      </w:r>
      <w:r w:rsidRPr="0098735C">
        <w:t>association</w:t>
      </w:r>
      <w:r>
        <w:t xml:space="preserve"> </w:t>
      </w:r>
      <w:r w:rsidR="003D30BE">
        <w:t>used</w:t>
      </w:r>
      <w:r>
        <w:t xml:space="preserve"> in PEI should be reused</w:t>
      </w:r>
      <w:r w:rsidR="003D30BE">
        <w:t xml:space="preserve"> here for LP-WUS</w:t>
      </w:r>
      <w:r>
        <w:t xml:space="preserve">, or </w:t>
      </w:r>
      <w:r w:rsidR="008B34AD">
        <w:t>some</w:t>
      </w:r>
      <w:r>
        <w:t xml:space="preserve"> new association can be considered</w:t>
      </w:r>
      <w:r w:rsidR="008B34AD">
        <w:t>, e.g., one where each bit can represent multiple subgroups</w:t>
      </w:r>
      <w:r>
        <w:t xml:space="preserve">. </w:t>
      </w:r>
    </w:p>
    <w:p w14:paraId="7262DAF4" w14:textId="1AF411A0" w:rsidR="00507E83" w:rsidRDefault="00507E83" w:rsidP="00EC287D">
      <w:pPr>
        <w:pStyle w:val="Proposal"/>
        <w:spacing w:after="240"/>
      </w:pPr>
      <w:bookmarkStart w:id="39" w:name="_Toc163174675"/>
      <w:bookmarkStart w:id="40" w:name="_Toc163200099"/>
      <w:r>
        <w:rPr>
          <w:lang w:eastAsia="en-GB"/>
        </w:rPr>
        <w:t xml:space="preserve">Support </w:t>
      </w:r>
      <w:r w:rsidR="002D4F68">
        <w:t>configurable payload for LP-WUS (</w:t>
      </w:r>
      <w:r w:rsidR="0058123D">
        <w:t>no more than</w:t>
      </w:r>
      <w:r>
        <w:t xml:space="preserve"> 8-bit</w:t>
      </w:r>
      <w:r w:rsidR="0058123D">
        <w:t xml:space="preserve"> payload size</w:t>
      </w:r>
      <w:r w:rsidR="002D4F68">
        <w:t>)</w:t>
      </w:r>
      <w:r>
        <w:rPr>
          <w:lang w:eastAsia="en-GB"/>
        </w:rPr>
        <w:t>.</w:t>
      </w:r>
      <w:bookmarkEnd w:id="39"/>
      <w:bookmarkEnd w:id="40"/>
    </w:p>
    <w:p w14:paraId="401E3F7A" w14:textId="276B8875" w:rsidR="00757E28" w:rsidRDefault="00757E28" w:rsidP="00EC287D">
      <w:pPr>
        <w:pStyle w:val="Heading2"/>
      </w:pPr>
      <w:r>
        <w:t>3.</w:t>
      </w:r>
      <w:r w:rsidR="00EC287D">
        <w:t>5</w:t>
      </w:r>
      <w:r>
        <w:tab/>
      </w:r>
      <w:r w:rsidR="009F783D">
        <w:t>E</w:t>
      </w:r>
      <w:r w:rsidR="009F783D" w:rsidRPr="009F783D">
        <w:t>ntry/exit condition for LP-WUS monitoring</w:t>
      </w:r>
    </w:p>
    <w:p w14:paraId="69830486" w14:textId="738679B3"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val="en-GB" w:eastAsia="ja-JP"/>
        </w:rPr>
      </w:pPr>
      <w:r>
        <w:rPr>
          <w:lang w:val="en-GB" w:eastAsia="ja-JP"/>
        </w:rPr>
        <w:t>S</w:t>
      </w:r>
      <w:r w:rsidR="00E941C0">
        <w:rPr>
          <w:lang w:val="en-GB" w:eastAsia="ja-JP"/>
        </w:rPr>
        <w:t xml:space="preserve">imilar to Rel-17 PEI, </w:t>
      </w:r>
      <w:r w:rsidR="00E93A34">
        <w:rPr>
          <w:lang w:val="en-GB" w:eastAsia="ja-JP"/>
        </w:rPr>
        <w:t xml:space="preserve">one option </w:t>
      </w:r>
      <w:r>
        <w:rPr>
          <w:lang w:val="en-GB" w:eastAsia="ja-JP"/>
        </w:rPr>
        <w:t xml:space="preserve">for entry/exit condition for LP-WUS monitoring </w:t>
      </w:r>
      <w:r w:rsidR="00E93A34">
        <w:rPr>
          <w:lang w:val="en-GB" w:eastAsia="ja-JP"/>
        </w:rPr>
        <w:t>is to</w:t>
      </w:r>
      <w:r w:rsidR="00E941C0">
        <w:rPr>
          <w:lang w:val="en-GB" w:eastAsia="ja-JP"/>
        </w:rPr>
        <w:t xml:space="preserve"> le</w:t>
      </w:r>
      <w:r w:rsidR="00E93A34">
        <w:rPr>
          <w:lang w:val="en-GB" w:eastAsia="ja-JP"/>
        </w:rPr>
        <w:t>ave</w:t>
      </w:r>
      <w:r w:rsidR="00E941C0">
        <w:rPr>
          <w:lang w:val="en-GB" w:eastAsia="ja-JP"/>
        </w:rPr>
        <w:t xml:space="preserve"> </w:t>
      </w:r>
      <w:r w:rsidR="0011231E">
        <w:rPr>
          <w:lang w:val="en-GB" w:eastAsia="ja-JP"/>
        </w:rPr>
        <w:t xml:space="preserve">it </w:t>
      </w:r>
      <w:r w:rsidR="00E941C0">
        <w:rPr>
          <w:lang w:val="en-GB" w:eastAsia="ja-JP"/>
        </w:rPr>
        <w:t>to UE implementation whether to monitor LP-WUS</w:t>
      </w:r>
      <w:r w:rsidR="00E941C0" w:rsidRPr="00E941C0">
        <w:rPr>
          <w:lang w:val="en-GB" w:eastAsia="ja-JP"/>
        </w:rPr>
        <w:t xml:space="preserve"> as long as </w:t>
      </w:r>
      <w:r w:rsidR="00E941C0">
        <w:rPr>
          <w:lang w:val="en-GB" w:eastAsia="ja-JP"/>
        </w:rPr>
        <w:t xml:space="preserve">the </w:t>
      </w:r>
      <w:r w:rsidR="00E941C0" w:rsidRPr="00E941C0">
        <w:rPr>
          <w:lang w:val="en-GB" w:eastAsia="ja-JP"/>
        </w:rPr>
        <w:t>paging performance is not impacted</w:t>
      </w:r>
      <w:r w:rsidR="00E941C0">
        <w:rPr>
          <w:lang w:val="en-GB" w:eastAsia="ja-JP"/>
        </w:rPr>
        <w:t xml:space="preserve">.  </w:t>
      </w:r>
    </w:p>
    <w:p w14:paraId="04D41513" w14:textId="779AAF04"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16696C06" w14:textId="18BCB714" w:rsidR="001E1694" w:rsidRDefault="001E1694" w:rsidP="00EC287D">
      <w:pPr>
        <w:jc w:val="both"/>
        <w:rPr>
          <w:lang w:val="en-GB" w:eastAsia="ja-JP"/>
        </w:rPr>
      </w:pPr>
      <w:r>
        <w:rPr>
          <w:lang w:val="en-GB" w:eastAsia="ja-JP"/>
        </w:rPr>
        <w:t xml:space="preserve">For operation flexibility, it is </w:t>
      </w:r>
      <w:r w:rsidR="008C2423">
        <w:rPr>
          <w:lang w:val="en-GB" w:eastAsia="ja-JP"/>
        </w:rPr>
        <w:t xml:space="preserve">thus </w:t>
      </w:r>
      <w:r>
        <w:rPr>
          <w:lang w:val="en-GB" w:eastAsia="ja-JP"/>
        </w:rPr>
        <w:t xml:space="preserve">preferred that the entry/exit condition </w:t>
      </w:r>
      <w:r w:rsidR="009D5453">
        <w:rPr>
          <w:lang w:val="en-GB" w:eastAsia="ja-JP"/>
        </w:rPr>
        <w:t>are</w:t>
      </w:r>
      <w:r>
        <w:rPr>
          <w:lang w:val="en-GB" w:eastAsia="ja-JP"/>
        </w:rPr>
        <w:t xml:space="preserve"> configurable. If </w:t>
      </w:r>
      <w:r w:rsidR="008C2423">
        <w:rPr>
          <w:lang w:val="en-GB" w:eastAsia="ja-JP"/>
        </w:rPr>
        <w:t xml:space="preserve">the entry/exit </w:t>
      </w:r>
      <w:r>
        <w:rPr>
          <w:lang w:val="en-GB" w:eastAsia="ja-JP"/>
        </w:rPr>
        <w:t>condition is not configured, it can be up to the UE whether to monitor LP-WUS or not when LP-WUS is configured in a cell. If LP-WUS is not configured, the UE will not monitor LP-WUS.</w:t>
      </w:r>
    </w:p>
    <w:p w14:paraId="10DA349A" w14:textId="56BF4F62" w:rsidR="008E7648" w:rsidRDefault="008E7648" w:rsidP="00EC287D">
      <w:pPr>
        <w:jc w:val="both"/>
        <w:rPr>
          <w:lang w:val="en-GB" w:eastAsia="ja-JP"/>
        </w:rPr>
      </w:pPr>
      <w:r>
        <w:rPr>
          <w:lang w:val="en-GB" w:eastAsia="ja-JP"/>
        </w:rPr>
        <w:t xml:space="preserve">Note that if explicit entry/exit condition is defined for </w:t>
      </w:r>
      <w:r>
        <w:t>LP-WUS monitoring</w:t>
      </w:r>
      <w:r w:rsidRPr="006E3651">
        <w:t xml:space="preserve"> in Idle/Inactive</w:t>
      </w:r>
      <w:r>
        <w:t>, UEs should not</w:t>
      </w:r>
      <w:r w:rsidRPr="006E3651">
        <w:t xml:space="preserve"> report whether they are in LP-WUS </w:t>
      </w:r>
      <w:r>
        <w:t>monitoring mode</w:t>
      </w:r>
      <w:r w:rsidRPr="006E3651">
        <w:t xml:space="preserve"> or not</w:t>
      </w:r>
      <w:r>
        <w:t xml:space="preserve"> to avoid explicit signaling and overhead.</w:t>
      </w:r>
    </w:p>
    <w:p w14:paraId="0355AB48" w14:textId="41E30FE7" w:rsidR="001E1694" w:rsidRDefault="001E1694" w:rsidP="00EC287D">
      <w:pPr>
        <w:pStyle w:val="Proposal"/>
        <w:spacing w:after="240"/>
      </w:pPr>
      <w:bookmarkStart w:id="41" w:name="_Toc163174676"/>
      <w:bookmarkStart w:id="42" w:name="_Toc163200100"/>
      <w:r w:rsidRPr="001E1694">
        <w:t>Entry/exit conditions</w:t>
      </w:r>
      <w:r>
        <w:t xml:space="preserve"> </w:t>
      </w:r>
      <w:r w:rsidR="008E7648">
        <w:t>should be</w:t>
      </w:r>
      <w:r w:rsidRPr="001E1694">
        <w:t xml:space="preserve"> configurable</w:t>
      </w:r>
      <w:r>
        <w:t>, e.g., as part of the</w:t>
      </w:r>
      <w:r w:rsidRPr="001E1694">
        <w:t xml:space="preserve"> LP-WUS configuration.</w:t>
      </w:r>
      <w:bookmarkEnd w:id="41"/>
      <w:bookmarkEnd w:id="42"/>
      <w:r w:rsidRPr="001E1694">
        <w:t xml:space="preserve"> </w:t>
      </w:r>
    </w:p>
    <w:p w14:paraId="589835B7" w14:textId="1A97E9F6" w:rsidR="00C04FDE" w:rsidRPr="008E7648" w:rsidRDefault="001E1694" w:rsidP="00EC287D">
      <w:pPr>
        <w:pStyle w:val="Proposal"/>
        <w:spacing w:after="240"/>
      </w:pPr>
      <w:bookmarkStart w:id="43" w:name="_Toc163174677"/>
      <w:bookmarkStart w:id="44" w:name="_Toc163200101"/>
      <w:r>
        <w:t>It should be p</w:t>
      </w:r>
      <w:r w:rsidRPr="001E1694">
        <w:t xml:space="preserve">ossible to configure different </w:t>
      </w:r>
      <w:r w:rsidR="005176B3">
        <w:t xml:space="preserve">entry/exit </w:t>
      </w:r>
      <w:r w:rsidRPr="001E1694">
        <w:t>conditions based on supported WUR types</w:t>
      </w:r>
      <w:r w:rsidR="000B7CEC">
        <w:t>, if any</w:t>
      </w:r>
      <w:r>
        <w:t>.</w:t>
      </w:r>
      <w:bookmarkStart w:id="45" w:name="_Toc158651164"/>
      <w:bookmarkStart w:id="46" w:name="_Toc158651165"/>
      <w:bookmarkEnd w:id="45"/>
      <w:bookmarkEnd w:id="46"/>
      <w:bookmarkEnd w:id="43"/>
      <w:bookmarkEnd w:id="44"/>
    </w:p>
    <w:p w14:paraId="7369321C" w14:textId="421316DB" w:rsidR="000171B6" w:rsidRPr="0074180C" w:rsidRDefault="000171B6" w:rsidP="00EC287D">
      <w:pPr>
        <w:pStyle w:val="Heading2"/>
      </w:pPr>
      <w:r>
        <w:t>3.</w:t>
      </w:r>
      <w:r w:rsidR="00EC287D">
        <w:t>6</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1A51CF6" w14:textId="4E1C5324" w:rsidR="000171B6" w:rsidRPr="00BB13D2" w:rsidRDefault="000171B6" w:rsidP="000171B6">
      <w:pPr>
        <w:pStyle w:val="Proposal"/>
        <w:rPr>
          <w:rFonts w:cs="Arial"/>
        </w:rPr>
      </w:pPr>
      <w:bookmarkStart w:id="47" w:name="_Toc163174678"/>
      <w:bookmarkStart w:id="48" w:name="_Toc163200102"/>
      <w:r>
        <w:rPr>
          <w:lang w:val="en-GB" w:eastAsia="ja-JP"/>
        </w:rPr>
        <w:t xml:space="preserve">If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47"/>
      <w:bookmarkEnd w:id="48"/>
    </w:p>
    <w:p w14:paraId="74C1F1D6" w14:textId="77777777" w:rsidR="00463EA6" w:rsidRDefault="00463EA6" w:rsidP="000171B6">
      <w:pPr>
        <w:jc w:val="both"/>
      </w:pPr>
    </w:p>
    <w:p w14:paraId="3654AAB6" w14:textId="1D82185C" w:rsidR="000171B6" w:rsidRDefault="000171B6" w:rsidP="000171B6">
      <w:pPr>
        <w:jc w:val="both"/>
      </w:pPr>
      <w:r>
        <w:t>During the SI, for</w:t>
      </w:r>
      <w:r w:rsidRPr="00B71B29">
        <w:t xml:space="preserve"> serving cell </w:t>
      </w:r>
      <w:r w:rsidR="009618E0">
        <w:t>RRM</w:t>
      </w:r>
      <w:r w:rsidRPr="00B71B29">
        <w:t xml:space="preserve"> measurement performed by LP-WUR</w:t>
      </w:r>
      <w:r>
        <w:t xml:space="preserve"> </w:t>
      </w:r>
      <w:r w:rsidRPr="00B71B29">
        <w:t>based on reference signal(s), RAN1 identified at least the following metrics for further study and evaluation (including feasibility, complexity, power consumption, etc)</w:t>
      </w:r>
      <w:r>
        <w:t>.</w:t>
      </w:r>
    </w:p>
    <w:tbl>
      <w:tblPr>
        <w:tblStyle w:val="TableGrid"/>
        <w:tblW w:w="0" w:type="auto"/>
        <w:tblLook w:val="04A0" w:firstRow="1" w:lastRow="0" w:firstColumn="1" w:lastColumn="0" w:noHBand="0" w:noVBand="1"/>
      </w:tblPr>
      <w:tblGrid>
        <w:gridCol w:w="9629"/>
      </w:tblGrid>
      <w:tr w:rsidR="000171B6" w14:paraId="227CBBA5" w14:textId="77777777" w:rsidTr="00CD706F">
        <w:tc>
          <w:tcPr>
            <w:tcW w:w="9629" w:type="dxa"/>
          </w:tcPr>
          <w:p w14:paraId="6925DB70"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 xml:space="preserve">LP-RSSI or Energy detection: linear average of total received power over a RSSI resource. </w:t>
            </w:r>
          </w:p>
          <w:p w14:paraId="6C603C64" w14:textId="77777777" w:rsidR="000171B6" w:rsidRPr="00184EBE" w:rsidRDefault="000171B6" w:rsidP="00CD706F">
            <w:pPr>
              <w:spacing w:after="120"/>
              <w:ind w:left="851" w:hanging="284"/>
              <w:jc w:val="both"/>
              <w:rPr>
                <w:rFonts w:cs="Arial"/>
                <w:sz w:val="20"/>
                <w:szCs w:val="20"/>
                <w:lang w:eastAsia="ja-JP"/>
              </w:rPr>
            </w:pPr>
            <w:r w:rsidRPr="00184EBE">
              <w:rPr>
                <w:rFonts w:cs="Arial"/>
                <w:sz w:val="20"/>
                <w:szCs w:val="20"/>
                <w:lang w:eastAsia="ja-JP"/>
              </w:rPr>
              <w:t>-</w:t>
            </w:r>
            <w:r w:rsidRPr="00184EBE">
              <w:rPr>
                <w:rFonts w:cs="Arial"/>
                <w:sz w:val="20"/>
                <w:szCs w:val="20"/>
                <w:lang w:eastAsia="ja-JP"/>
              </w:rPr>
              <w:tab/>
              <w:t>FFS RSSI resource.</w:t>
            </w:r>
          </w:p>
          <w:p w14:paraId="42F9A6F6"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 xml:space="preserve">LP-RSRP: linear average of received power of resource of reference signal(s) or signal(s) parts. </w:t>
            </w:r>
          </w:p>
          <w:p w14:paraId="7E871516" w14:textId="77777777" w:rsidR="000171B6" w:rsidRPr="00184EBE" w:rsidRDefault="000171B6" w:rsidP="00CD706F">
            <w:pPr>
              <w:spacing w:after="120"/>
              <w:ind w:left="851" w:hanging="284"/>
              <w:jc w:val="both"/>
              <w:rPr>
                <w:rFonts w:cs="Arial"/>
                <w:sz w:val="20"/>
                <w:szCs w:val="20"/>
                <w:lang w:eastAsia="ja-JP"/>
              </w:rPr>
            </w:pPr>
            <w:r w:rsidRPr="00184EBE">
              <w:rPr>
                <w:rFonts w:cs="Arial"/>
                <w:sz w:val="20"/>
                <w:szCs w:val="20"/>
                <w:lang w:eastAsia="ja-JP"/>
              </w:rPr>
              <w:t>-</w:t>
            </w:r>
            <w:r w:rsidRPr="00184EBE">
              <w:rPr>
                <w:rFonts w:cs="Arial"/>
                <w:sz w:val="20"/>
                <w:szCs w:val="20"/>
                <w:lang w:eastAsia="ja-JP"/>
              </w:rPr>
              <w:tab/>
              <w:t>FFS resource of reference signal(s) or signal(s) parts</w:t>
            </w:r>
          </w:p>
          <w:p w14:paraId="1F40F883"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 xml:space="preserve">LP-SINR = LP-RSRP/(power of interference and noise) </w:t>
            </w:r>
          </w:p>
          <w:p w14:paraId="1A8A7576" w14:textId="77777777" w:rsidR="000171B6" w:rsidRPr="00184EBE" w:rsidRDefault="000171B6" w:rsidP="00CD706F">
            <w:pPr>
              <w:spacing w:after="120"/>
              <w:ind w:left="851" w:hanging="284"/>
              <w:jc w:val="both"/>
              <w:rPr>
                <w:rFonts w:cs="Arial"/>
                <w:sz w:val="20"/>
                <w:szCs w:val="20"/>
                <w:lang w:eastAsia="ja-JP"/>
              </w:rPr>
            </w:pPr>
            <w:r w:rsidRPr="00184EBE">
              <w:rPr>
                <w:rFonts w:cs="Arial"/>
                <w:sz w:val="20"/>
                <w:szCs w:val="20"/>
                <w:lang w:eastAsia="ja-JP"/>
              </w:rPr>
              <w:t>-</w:t>
            </w:r>
            <w:r w:rsidRPr="00184EBE">
              <w:rPr>
                <w:rFonts w:cs="Arial"/>
                <w:sz w:val="20"/>
                <w:szCs w:val="20"/>
                <w:lang w:eastAsia="ja-JP"/>
              </w:rPr>
              <w:tab/>
              <w:t>FFS how to define "power of interference and noise"</w:t>
            </w:r>
          </w:p>
          <w:p w14:paraId="4CC8E85D" w14:textId="77777777" w:rsidR="000171B6" w:rsidRPr="00184EBE" w:rsidRDefault="000171B6" w:rsidP="00CD706F">
            <w:pPr>
              <w:spacing w:after="120"/>
              <w:ind w:left="568" w:hanging="284"/>
              <w:jc w:val="both"/>
              <w:rPr>
                <w:rFonts w:cs="Arial"/>
                <w:bCs/>
                <w:sz w:val="20"/>
                <w:szCs w:val="20"/>
                <w:lang w:eastAsia="zh-CN"/>
              </w:rPr>
            </w:pPr>
            <w:r w:rsidRPr="00184EBE">
              <w:rPr>
                <w:rFonts w:cs="Arial"/>
                <w:bCs/>
                <w:sz w:val="20"/>
                <w:szCs w:val="20"/>
                <w:lang w:eastAsia="zh-CN"/>
              </w:rPr>
              <w:t>-</w:t>
            </w:r>
            <w:r w:rsidRPr="00184EBE">
              <w:rPr>
                <w:rFonts w:cs="Arial"/>
                <w:bCs/>
                <w:sz w:val="20"/>
                <w:szCs w:val="20"/>
                <w:lang w:eastAsia="zh-CN"/>
              </w:rPr>
              <w:tab/>
              <w:t xml:space="preserve">LP-RSRQ= [N x] LP-RSRP/LP-RSSI, where N is the factor of resource size difference for evaluation LP-RSRP and LP-RSSI. </w:t>
            </w:r>
          </w:p>
          <w:p w14:paraId="52870FFA"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Accounting AGC accuracy, ADC of at least 4 bits is required.</w:t>
            </w:r>
          </w:p>
        </w:tc>
      </w:tr>
    </w:tbl>
    <w:p w14:paraId="263769E8" w14:textId="77777777" w:rsidR="000171B6" w:rsidRDefault="000171B6" w:rsidP="000171B6">
      <w:r>
        <w:t xml:space="preserve"> </w:t>
      </w:r>
    </w:p>
    <w:p w14:paraId="284A4B1D" w14:textId="2914826C" w:rsidR="008C0A9E" w:rsidRPr="00B71B29" w:rsidRDefault="00A7579F" w:rsidP="000171B6">
      <w:r w:rsidRPr="00A7579F">
        <w:t xml:space="preserve">In our view, </w:t>
      </w:r>
      <w:r w:rsidR="008C0A9E" w:rsidRPr="00A7579F">
        <w:t xml:space="preserve">the </w:t>
      </w:r>
      <w:r>
        <w:t xml:space="preserve">new </w:t>
      </w:r>
      <w:r w:rsidR="008C0A9E" w:rsidRPr="00A7579F">
        <w:t>metric</w:t>
      </w:r>
      <w:r>
        <w:t>s</w:t>
      </w:r>
      <w:r w:rsidR="008C0A9E" w:rsidRPr="00A7579F">
        <w:t xml:space="preserve"> should </w:t>
      </w:r>
      <w:r>
        <w:t>be defined in a way that ensures</w:t>
      </w:r>
      <w:r w:rsidR="008C0A9E" w:rsidRPr="00A7579F">
        <w:t xml:space="preserve"> compatibility when comparing with the legacy metrics used</w:t>
      </w:r>
      <w:r>
        <w:t>, e.g.,</w:t>
      </w:r>
      <w:r w:rsidR="008C0A9E" w:rsidRPr="00A7579F">
        <w:t xml:space="preserve"> for neighbor cell measurements. </w:t>
      </w:r>
      <w:r>
        <w:t xml:space="preserve">Moreover, for LP-WUS operation in RRC-IDLE and INACTIVE, it is not necessary to support LP-SINR measurement. </w:t>
      </w:r>
    </w:p>
    <w:p w14:paraId="554B020D" w14:textId="2C2A5C80" w:rsidR="00A7579F" w:rsidRPr="00A7579F" w:rsidRDefault="000171B6" w:rsidP="00A7579F">
      <w:pPr>
        <w:pStyle w:val="Proposal"/>
        <w:rPr>
          <w:rFonts w:cs="Arial"/>
        </w:rPr>
      </w:pPr>
      <w:bookmarkStart w:id="49" w:name="_Toc163174679"/>
      <w:bookmarkStart w:id="50" w:name="_Toc163200103"/>
      <w:r w:rsidRPr="0074180C">
        <w:rPr>
          <w:lang w:val="en-GB" w:eastAsia="ja-JP"/>
        </w:rPr>
        <w:t>RRM measurements should be defined separately for different WUR types</w:t>
      </w:r>
      <w:r>
        <w:rPr>
          <w:lang w:val="en-GB" w:eastAsia="ja-JP"/>
        </w:rPr>
        <w:t>, if any</w:t>
      </w:r>
      <w:r>
        <w:t>.</w:t>
      </w:r>
      <w:r>
        <w:br/>
        <w:t xml:space="preserve">- For WUR capable of </w:t>
      </w:r>
      <w:r w:rsidR="00443A5A">
        <w:t xml:space="preserve">receiving </w:t>
      </w:r>
      <w:r>
        <w:t>existing SSS, existing metrics in TS 38.215 can be reused.</w:t>
      </w:r>
      <w:r>
        <w:br/>
        <w:t xml:space="preserve">- For WUR not capable of </w:t>
      </w:r>
      <w:r w:rsidR="00443A5A">
        <w:t xml:space="preserve">receiving </w:t>
      </w:r>
      <w:r>
        <w:t xml:space="preserve">existing SSS, separate metrics </w:t>
      </w:r>
      <w:r w:rsidR="003024DF">
        <w:t>should be further studied</w:t>
      </w:r>
      <w:r>
        <w:t>.</w:t>
      </w:r>
      <w:r w:rsidR="00A7579F">
        <w:br/>
        <w:t xml:space="preserve">- Definitions should ensure </w:t>
      </w:r>
      <w:r w:rsidR="00A7579F" w:rsidRPr="00A7579F">
        <w:t>compatibility when comparing with the legacy metrics</w:t>
      </w:r>
      <w:r w:rsidR="00A7579F">
        <w:t>.</w:t>
      </w:r>
      <w:bookmarkEnd w:id="49"/>
      <w:bookmarkEnd w:id="50"/>
    </w:p>
    <w:bookmarkEnd w:id="2"/>
    <w:p w14:paraId="1B906535" w14:textId="613953EB" w:rsidR="00757E28" w:rsidRPr="00AA3123" w:rsidRDefault="00E80F15"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49EB655C" w14:textId="66E120D7" w:rsidR="002C6705"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63199995" w:history="1">
        <w:r w:rsidR="002C6705" w:rsidRPr="003F7637">
          <w:rPr>
            <w:rStyle w:val="Hyperlink"/>
            <w:noProof/>
          </w:rPr>
          <w:t>Observation 1</w:t>
        </w:r>
        <w:r w:rsidR="002C6705">
          <w:rPr>
            <w:rFonts w:asciiTheme="minorHAnsi" w:eastAsiaTheme="minorEastAsia" w:hAnsiTheme="minorHAnsi"/>
            <w:b w:val="0"/>
            <w:noProof/>
            <w:kern w:val="2"/>
            <w:sz w:val="22"/>
            <w:lang w:eastAsia="en-US"/>
            <w14:ligatures w14:val="standardContextual"/>
          </w:rPr>
          <w:tab/>
        </w:r>
        <w:r w:rsidR="002C6705" w:rsidRPr="003F7637">
          <w:rPr>
            <w:rStyle w:val="Hyperlink"/>
            <w:noProof/>
          </w:rPr>
          <w:t>Dynamic PO does not provide any meaningful latency gain but can lead to large impacts on specifications and implementations.</w:t>
        </w:r>
      </w:hyperlink>
    </w:p>
    <w:p w14:paraId="669C4905" w14:textId="09C57C91" w:rsidR="002C6705"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9996" w:history="1">
        <w:r w:rsidR="002C6705" w:rsidRPr="003F7637">
          <w:rPr>
            <w:rStyle w:val="Hyperlink"/>
            <w:noProof/>
          </w:rPr>
          <w:t>Observation 2</w:t>
        </w:r>
        <w:r w:rsidR="002C6705">
          <w:rPr>
            <w:rFonts w:asciiTheme="minorHAnsi" w:eastAsiaTheme="minorEastAsia" w:hAnsiTheme="minorHAnsi"/>
            <w:b w:val="0"/>
            <w:noProof/>
            <w:kern w:val="2"/>
            <w:sz w:val="22"/>
            <w:lang w:eastAsia="en-US"/>
            <w14:ligatures w14:val="standardContextual"/>
          </w:rPr>
          <w:tab/>
        </w:r>
        <w:r w:rsidR="002C6705" w:rsidRPr="003F7637">
          <w:rPr>
            <w:rStyle w:val="Hyperlink"/>
            <w:noProof/>
          </w:rPr>
          <w:t>From an eco-system support point of view, it would be beneficial to allow NW to configure the type of WUR capabilities which are supported in a cell.</w:t>
        </w:r>
      </w:hyperlink>
    </w:p>
    <w:p w14:paraId="5C961C6D" w14:textId="14AA336A" w:rsidR="00757E28" w:rsidRDefault="00757E28" w:rsidP="00757E2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A6B91E7" w14:textId="6F6BF31F" w:rsidR="00443A5A"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3200090" w:history="1">
        <w:r w:rsidR="00443A5A" w:rsidRPr="00D76F23">
          <w:rPr>
            <w:rStyle w:val="Hyperlink"/>
            <w:noProof/>
          </w:rPr>
          <w:t>Proposal 1</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For LP-WUR operation in RRC-IDLE and INACTIVE, LP-WUS is used to trigger paging monitoring of the UE, i.e., monitoring of DCI format 1_0 with CRC scrambled by P-RNTI.</w:t>
        </w:r>
      </w:hyperlink>
    </w:p>
    <w:p w14:paraId="6BC9274D" w14:textId="083479BE"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1" w:history="1">
        <w:r w:rsidR="00443A5A" w:rsidRPr="00D76F23">
          <w:rPr>
            <w:rStyle w:val="Hyperlink"/>
            <w:noProof/>
          </w:rPr>
          <w:t>Proposal 2</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Do not support UE monitoring dynamic PO after receiving LP-WUS indicating wake-up.</w:t>
        </w:r>
      </w:hyperlink>
    </w:p>
    <w:p w14:paraId="1EF5B3C1" w14:textId="0B951822"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2" w:history="1">
        <w:r w:rsidR="00443A5A" w:rsidRPr="00D76F23">
          <w:rPr>
            <w:rStyle w:val="Hyperlink"/>
            <w:noProof/>
          </w:rPr>
          <w:t>Proposal 3</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Paging misdetection performance of the UE should not be impacted when LP-WUS is used by the UE for power savings.</w:t>
        </w:r>
      </w:hyperlink>
    </w:p>
    <w:p w14:paraId="52FDB37A" w14:textId="26651B03"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3" w:history="1">
        <w:r w:rsidR="00443A5A" w:rsidRPr="00D76F23">
          <w:rPr>
            <w:rStyle w:val="Hyperlink"/>
            <w:noProof/>
          </w:rPr>
          <w:t>Proposal 4</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LP-WUS and LP-SS configuration is provided to the UE in a cell by system information. Further details of higher layer mechanisms can be discussed in RAN 2.</w:t>
        </w:r>
      </w:hyperlink>
    </w:p>
    <w:p w14:paraId="69DB2A48" w14:textId="522F09BA"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4" w:history="1">
        <w:r w:rsidR="00443A5A" w:rsidRPr="00D76F23">
          <w:rPr>
            <w:rStyle w:val="Hyperlink"/>
            <w:noProof/>
          </w:rPr>
          <w:t>Proposal 5</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 xml:space="preserve">Type of WUR capability supported in the cell, e.g., support for both </w:t>
        </w:r>
        <w:r w:rsidR="00443A5A" w:rsidRPr="00D76F23">
          <w:rPr>
            <w:rStyle w:val="Hyperlink"/>
            <w:noProof/>
            <w:lang w:eastAsia="en-GB"/>
          </w:rPr>
          <w:t>OFDM and OOK-based WUR, or OFDM-based WUR only, or OOK-based WUR only, should be configurable by the NW</w:t>
        </w:r>
        <w:r w:rsidR="00443A5A" w:rsidRPr="00D76F23">
          <w:rPr>
            <w:rStyle w:val="Hyperlink"/>
            <w:noProof/>
          </w:rPr>
          <w:t>.</w:t>
        </w:r>
      </w:hyperlink>
    </w:p>
    <w:p w14:paraId="17F1F9A1" w14:textId="7BD4151B"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5" w:history="1">
        <w:r w:rsidR="00443A5A" w:rsidRPr="00D76F23">
          <w:rPr>
            <w:rStyle w:val="Hyperlink"/>
            <w:noProof/>
          </w:rPr>
          <w:t>Proposal 6</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eastAsia="en-GB"/>
          </w:rPr>
          <w:t>I</w:t>
        </w:r>
        <w:r w:rsidR="00443A5A" w:rsidRPr="00D76F23">
          <w:rPr>
            <w:rStyle w:val="Hyperlink"/>
            <w:iCs/>
            <w:noProof/>
            <w:lang w:eastAsia="en-GB"/>
          </w:rPr>
          <w:t xml:space="preserve">t should be possible for NW to configure </w:t>
        </w:r>
        <w:r w:rsidR="00443A5A" w:rsidRPr="00D76F23">
          <w:rPr>
            <w:rStyle w:val="Hyperlink"/>
            <w:noProof/>
            <w:lang w:eastAsia="en-GB"/>
          </w:rPr>
          <w:t>flexibly the placement of LP-WUS and LP-SS resources in frequency and time to minimize overhead and NW energy efficiency impact.</w:t>
        </w:r>
      </w:hyperlink>
    </w:p>
    <w:p w14:paraId="3902576D" w14:textId="307AAFCC"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6" w:history="1">
        <w:r w:rsidR="00443A5A" w:rsidRPr="00D76F23">
          <w:rPr>
            <w:rStyle w:val="Hyperlink"/>
            <w:noProof/>
            <w:lang w:val="en-GB" w:eastAsia="ja-JP"/>
          </w:rPr>
          <w:t>Proposal 7</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eastAsia="en-GB"/>
          </w:rPr>
          <w:t xml:space="preserve">For LP-WUS monitoring in RRC-IDLE/INACTIVE, </w:t>
        </w:r>
        <w:r w:rsidR="00443A5A">
          <w:rPr>
            <w:rStyle w:val="Hyperlink"/>
            <w:noProof/>
            <w:lang w:eastAsia="en-GB"/>
          </w:rPr>
          <w:br/>
        </w:r>
        <w:r w:rsidR="00443A5A" w:rsidRPr="00D76F23">
          <w:rPr>
            <w:rStyle w:val="Hyperlink"/>
            <w:noProof/>
            <w:lang w:eastAsia="en-GB"/>
          </w:rPr>
          <w:t>- Introduce t</w:t>
        </w:r>
        <w:r w:rsidR="00443A5A" w:rsidRPr="00D76F23">
          <w:rPr>
            <w:rStyle w:val="Hyperlink"/>
            <w:noProof/>
            <w:lang w:val="en-GB" w:eastAsia="ja-JP"/>
          </w:rPr>
          <w:t>ime offset between LP-WUS occasion (LO) and UE paging occasion/frame.</w:t>
        </w:r>
        <w:r w:rsidR="00443A5A" w:rsidRPr="00D76F23">
          <w:rPr>
            <w:rStyle w:val="Hyperlink"/>
            <w:noProof/>
            <w:lang w:eastAsia="en-GB"/>
          </w:rPr>
          <w:t xml:space="preserve">  </w:t>
        </w:r>
        <w:r w:rsidR="00443A5A">
          <w:rPr>
            <w:rStyle w:val="Hyperlink"/>
            <w:noProof/>
            <w:lang w:eastAsia="en-GB"/>
          </w:rPr>
          <w:br/>
        </w:r>
        <w:r w:rsidR="00443A5A" w:rsidRPr="00D76F23">
          <w:rPr>
            <w:rStyle w:val="Hyperlink"/>
            <w:noProof/>
            <w:lang w:eastAsia="en-GB"/>
          </w:rPr>
          <w:t>- LP-WUS monitoring occasion is described by a starting symbol of possible LP-WUS transmission within the LO.</w:t>
        </w:r>
      </w:hyperlink>
    </w:p>
    <w:p w14:paraId="29E0C472" w14:textId="1DC66531"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7" w:history="1">
        <w:r w:rsidR="00443A5A" w:rsidRPr="00D76F23">
          <w:rPr>
            <w:rStyle w:val="Hyperlink"/>
            <w:noProof/>
          </w:rPr>
          <w:t>Proposal 8</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eastAsia="en-GB"/>
          </w:rPr>
          <w:t>I</w:t>
        </w:r>
        <w:r w:rsidR="00443A5A" w:rsidRPr="00D76F23">
          <w:rPr>
            <w:rStyle w:val="Hyperlink"/>
            <w:noProof/>
          </w:rPr>
          <w:t>n multi-beam operation</w:t>
        </w:r>
        <w:r w:rsidR="00443A5A" w:rsidRPr="00D76F23">
          <w:rPr>
            <w:rStyle w:val="Hyperlink"/>
            <w:noProof/>
            <w:lang w:eastAsia="en-GB"/>
          </w:rPr>
          <w:t xml:space="preserve">, </w:t>
        </w:r>
        <w:r w:rsidR="00443A5A" w:rsidRPr="00D76F23">
          <w:rPr>
            <w:rStyle w:val="Hyperlink"/>
            <w:noProof/>
          </w:rPr>
          <w:t>the UE can assume that the same LP-WUS information is provided in all transmitted beams</w:t>
        </w:r>
        <w:r w:rsidR="00443A5A" w:rsidRPr="00D76F23">
          <w:rPr>
            <w:rStyle w:val="Hyperlink"/>
            <w:noProof/>
            <w:lang w:eastAsia="en-GB"/>
          </w:rPr>
          <w:t>.</w:t>
        </w:r>
      </w:hyperlink>
    </w:p>
    <w:p w14:paraId="2EDD06B5" w14:textId="1FBC5CF1"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8" w:history="1">
        <w:r w:rsidR="00443A5A" w:rsidRPr="00D76F23">
          <w:rPr>
            <w:rStyle w:val="Hyperlink"/>
            <w:noProof/>
          </w:rPr>
          <w:t>Proposal 9</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eastAsia="en-GB"/>
          </w:rPr>
          <w:t>Support only configuration of duty-cycled WUR monitoring in Rel-19.</w:t>
        </w:r>
      </w:hyperlink>
    </w:p>
    <w:p w14:paraId="7057178E" w14:textId="5AF05815"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099" w:history="1">
        <w:r w:rsidR="00443A5A" w:rsidRPr="00D76F23">
          <w:rPr>
            <w:rStyle w:val="Hyperlink"/>
            <w:noProof/>
          </w:rPr>
          <w:t>Proposal 10</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eastAsia="en-GB"/>
          </w:rPr>
          <w:t xml:space="preserve">Support </w:t>
        </w:r>
        <w:r w:rsidR="00443A5A" w:rsidRPr="00D76F23">
          <w:rPr>
            <w:rStyle w:val="Hyperlink"/>
            <w:noProof/>
          </w:rPr>
          <w:t>configurable payload for LP-WUS (no more than 8-bit payload size)</w:t>
        </w:r>
        <w:r w:rsidR="00443A5A" w:rsidRPr="00D76F23">
          <w:rPr>
            <w:rStyle w:val="Hyperlink"/>
            <w:noProof/>
            <w:lang w:eastAsia="en-GB"/>
          </w:rPr>
          <w:t>.</w:t>
        </w:r>
      </w:hyperlink>
    </w:p>
    <w:p w14:paraId="582F9F91" w14:textId="51DF8C76"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100" w:history="1">
        <w:r w:rsidR="00443A5A" w:rsidRPr="00D76F23">
          <w:rPr>
            <w:rStyle w:val="Hyperlink"/>
            <w:noProof/>
          </w:rPr>
          <w:t>Proposal 11</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Entry/exit conditions should be configurable, e.g., as part of the LP-WUS configuration.</w:t>
        </w:r>
      </w:hyperlink>
    </w:p>
    <w:p w14:paraId="3609569E" w14:textId="43B22C8A"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101" w:history="1">
        <w:r w:rsidR="00443A5A" w:rsidRPr="00D76F23">
          <w:rPr>
            <w:rStyle w:val="Hyperlink"/>
            <w:noProof/>
          </w:rPr>
          <w:t>Proposal 12</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rPr>
          <w:t>It should be possible to configure different entry/exit conditions based on supported WUR types, if any.</w:t>
        </w:r>
      </w:hyperlink>
    </w:p>
    <w:p w14:paraId="1F4CB62E" w14:textId="75325FFB"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102" w:history="1">
        <w:r w:rsidR="00443A5A" w:rsidRPr="00D76F23">
          <w:rPr>
            <w:rStyle w:val="Hyperlink"/>
            <w:rFonts w:cs="Arial"/>
            <w:noProof/>
          </w:rPr>
          <w:t>Proposal 13</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val="en-GB" w:eastAsia="ja-JP"/>
          </w:rPr>
          <w:t>If RRM using LP-SS is supported, only scenarios that are suitable for operation with low LP-SS overhead and NW energy impact should be considered for RRM</w:t>
        </w:r>
        <w:r w:rsidR="00443A5A" w:rsidRPr="00D76F23">
          <w:rPr>
            <w:rStyle w:val="Hyperlink"/>
            <w:noProof/>
          </w:rPr>
          <w:t>.</w:t>
        </w:r>
      </w:hyperlink>
    </w:p>
    <w:p w14:paraId="5CF5C0D3" w14:textId="0186AC80" w:rsidR="00443A5A" w:rsidRDefault="00E80F15">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00103" w:history="1">
        <w:r w:rsidR="00443A5A" w:rsidRPr="00D76F23">
          <w:rPr>
            <w:rStyle w:val="Hyperlink"/>
            <w:rFonts w:cs="Arial"/>
            <w:noProof/>
          </w:rPr>
          <w:t>Proposal 14</w:t>
        </w:r>
        <w:r w:rsidR="00443A5A">
          <w:rPr>
            <w:rFonts w:asciiTheme="minorHAnsi" w:eastAsiaTheme="minorEastAsia" w:hAnsiTheme="minorHAnsi"/>
            <w:b w:val="0"/>
            <w:noProof/>
            <w:kern w:val="2"/>
            <w:sz w:val="22"/>
            <w:lang w:eastAsia="en-US"/>
            <w14:ligatures w14:val="standardContextual"/>
          </w:rPr>
          <w:tab/>
        </w:r>
        <w:r w:rsidR="00443A5A" w:rsidRPr="00D76F23">
          <w:rPr>
            <w:rStyle w:val="Hyperlink"/>
            <w:noProof/>
            <w:lang w:val="en-GB" w:eastAsia="ja-JP"/>
          </w:rPr>
          <w:t>RRM measurements should be defined separately for different WUR types, if any</w:t>
        </w:r>
        <w:r w:rsidR="00443A5A" w:rsidRPr="00D76F23">
          <w:rPr>
            <w:rStyle w:val="Hyperlink"/>
            <w:noProof/>
          </w:rPr>
          <w:t xml:space="preserve">. </w:t>
        </w:r>
        <w:r w:rsidR="00443A5A">
          <w:rPr>
            <w:rStyle w:val="Hyperlink"/>
            <w:noProof/>
          </w:rPr>
          <w:br/>
        </w:r>
        <w:r w:rsidR="00443A5A" w:rsidRPr="00D76F23">
          <w:rPr>
            <w:rStyle w:val="Hyperlink"/>
            <w:noProof/>
          </w:rPr>
          <w:t xml:space="preserve">- For WUR capable of receiving existing SSS, existing metrics in TS 38.215 can be reused. </w:t>
        </w:r>
        <w:r w:rsidR="00443A5A">
          <w:rPr>
            <w:rStyle w:val="Hyperlink"/>
            <w:noProof/>
          </w:rPr>
          <w:br/>
        </w:r>
        <w:r w:rsidR="00443A5A" w:rsidRPr="00D76F23">
          <w:rPr>
            <w:rStyle w:val="Hyperlink"/>
            <w:noProof/>
          </w:rPr>
          <w:t xml:space="preserve">- For WUR not capable of receiving existing SSS, separate metrics should be further studied. </w:t>
        </w:r>
        <w:r w:rsidR="00443A5A">
          <w:rPr>
            <w:rStyle w:val="Hyperlink"/>
            <w:noProof/>
          </w:rPr>
          <w:br/>
        </w:r>
        <w:r w:rsidR="00443A5A" w:rsidRPr="00D76F23">
          <w:rPr>
            <w:rStyle w:val="Hyperlink"/>
            <w:noProof/>
          </w:rPr>
          <w:t>- Definitions should ensure compatibility when comparing with the legacy metrics.</w:t>
        </w:r>
      </w:hyperlink>
    </w:p>
    <w:p w14:paraId="4544CCC0" w14:textId="5AF34EBE" w:rsidR="00757E28" w:rsidRPr="00296684" w:rsidRDefault="00757E28" w:rsidP="00757E28">
      <w:pPr>
        <w:pStyle w:val="BodyText"/>
      </w:pPr>
      <w:r w:rsidRPr="008E3596">
        <w:rPr>
          <w:b/>
          <w:bCs/>
        </w:rPr>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51" w:name="_Ref174151459"/>
      <w:bookmarkStart w:id="52" w:name="_Ref189809556"/>
      <w:bookmarkStart w:id="53"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77777777" w:rsidR="00757E28" w:rsidRDefault="00757E28" w:rsidP="00757E28">
      <w:pPr>
        <w:pStyle w:val="Reference"/>
        <w:rPr>
          <w:rFonts w:cstheme="minorHAnsi"/>
        </w:rPr>
      </w:pPr>
      <w:bookmarkStart w:id="54" w:name="_Ref157161528"/>
      <w:bookmarkEnd w:id="51"/>
      <w:bookmarkEnd w:id="52"/>
      <w:bookmarkEnd w:id="53"/>
      <w:r w:rsidRPr="001A3563">
        <w:rPr>
          <w:rFonts w:cstheme="minorHAnsi"/>
        </w:rPr>
        <w:t xml:space="preserve">3GPP </w:t>
      </w:r>
      <w:hyperlink r:id="rId14" w:history="1">
        <w:r w:rsidRPr="004533F6">
          <w:rPr>
            <w:rStyle w:val="Hyperlink"/>
            <w:rFonts w:cstheme="minorHAnsi"/>
          </w:rPr>
          <w:t>TR 38.869 v2.00</w:t>
        </w:r>
      </w:hyperlink>
      <w:r w:rsidRPr="001A3563">
        <w:rPr>
          <w:rFonts w:cstheme="minorHAnsi"/>
        </w:rPr>
        <w:t>, “Study on low-power Wake-up Signal and Receiver</w:t>
      </w:r>
      <w:r>
        <w:rPr>
          <w:rFonts w:cstheme="minorHAnsi"/>
        </w:rPr>
        <w:t xml:space="preserve"> </w:t>
      </w:r>
      <w:r w:rsidRPr="001A3563">
        <w:rPr>
          <w:rFonts w:cstheme="minorHAnsi"/>
        </w:rPr>
        <w:t>for NR),” Dec. 2023.</w:t>
      </w:r>
      <w:bookmarkEnd w:id="54"/>
    </w:p>
    <w:p w14:paraId="3B4F9F61" w14:textId="16F75FCB" w:rsidR="0078408C" w:rsidRPr="0053009E" w:rsidRDefault="00C52FC6" w:rsidP="0078408C">
      <w:pPr>
        <w:pStyle w:val="Reference"/>
        <w:rPr>
          <w:rFonts w:cstheme="minorHAnsi"/>
        </w:rPr>
      </w:pPr>
      <w:r w:rsidRPr="0053009E">
        <w:rPr>
          <w:rFonts w:cstheme="minorHAnsi"/>
        </w:rPr>
        <w:t>R1-240</w:t>
      </w:r>
      <w:r w:rsidR="0053009E" w:rsidRPr="0053009E">
        <w:rPr>
          <w:rFonts w:cstheme="minorHAnsi"/>
        </w:rPr>
        <w:t>3276</w:t>
      </w:r>
      <w:r w:rsidRPr="0053009E">
        <w:rPr>
          <w:rFonts w:cstheme="minorHAnsi"/>
        </w:rPr>
        <w:t>, “LP-WUS and LP-SS design”, Ericsson, RAN1#116</w:t>
      </w:r>
      <w:r w:rsidR="0053009E" w:rsidRPr="0053009E">
        <w:rPr>
          <w:rFonts w:cstheme="minorHAnsi"/>
        </w:rPr>
        <w:t>bis</w:t>
      </w:r>
      <w:r w:rsidRPr="0053009E">
        <w:rPr>
          <w:rFonts w:cstheme="minorHAnsi"/>
        </w:rPr>
        <w:t xml:space="preserve">, </w:t>
      </w:r>
      <w:r w:rsidR="0053009E" w:rsidRPr="0053009E">
        <w:rPr>
          <w:rFonts w:cstheme="minorHAnsi"/>
        </w:rPr>
        <w:t>Changsha</w:t>
      </w:r>
      <w:r w:rsidRPr="0053009E">
        <w:rPr>
          <w:rFonts w:cstheme="minorHAnsi"/>
        </w:rPr>
        <w:t xml:space="preserve">, </w:t>
      </w:r>
      <w:r w:rsidR="0053009E" w:rsidRPr="0053009E">
        <w:rPr>
          <w:rFonts w:cstheme="minorHAnsi"/>
        </w:rPr>
        <w:t>April</w:t>
      </w:r>
      <w:r w:rsidRPr="0053009E">
        <w:rPr>
          <w:rFonts w:cstheme="minorHAnsi"/>
        </w:rPr>
        <w:t xml:space="preserve"> 2024.</w:t>
      </w:r>
    </w:p>
    <w:p w14:paraId="0F1D78B9" w14:textId="4605FAC3" w:rsidR="003A7EF3" w:rsidRPr="00CC6CC0" w:rsidRDefault="003A7EF3" w:rsidP="00CC6CC0"/>
    <w:sectPr w:rsidR="003A7EF3" w:rsidRPr="00CC6CC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474C" w14:textId="77777777" w:rsidR="00CE0F3B" w:rsidRDefault="00CE0F3B">
      <w:r>
        <w:separator/>
      </w:r>
    </w:p>
  </w:endnote>
  <w:endnote w:type="continuationSeparator" w:id="0">
    <w:p w14:paraId="549CACDB" w14:textId="77777777" w:rsidR="00CE0F3B" w:rsidRDefault="00CE0F3B">
      <w:r>
        <w:continuationSeparator/>
      </w:r>
    </w:p>
  </w:endnote>
  <w:endnote w:type="continuationNotice" w:id="1">
    <w:p w14:paraId="328F8926" w14:textId="77777777" w:rsidR="00CE0F3B" w:rsidRDefault="00CE0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95507" w14:textId="77777777" w:rsidR="00CE0F3B" w:rsidRDefault="00CE0F3B">
      <w:r>
        <w:separator/>
      </w:r>
    </w:p>
  </w:footnote>
  <w:footnote w:type="continuationSeparator" w:id="0">
    <w:p w14:paraId="78CBC326" w14:textId="77777777" w:rsidR="00CE0F3B" w:rsidRDefault="00CE0F3B">
      <w:r>
        <w:continuationSeparator/>
      </w:r>
    </w:p>
  </w:footnote>
  <w:footnote w:type="continuationNotice" w:id="1">
    <w:p w14:paraId="77966D2B" w14:textId="77777777" w:rsidR="00CE0F3B" w:rsidRDefault="00CE0F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842AD"/>
    <w:multiLevelType w:val="hybridMultilevel"/>
    <w:tmpl w:val="3A3A1430"/>
    <w:lvl w:ilvl="0" w:tplc="80C0AC90">
      <w:start w:val="1"/>
      <w:numFmt w:val="bullet"/>
      <w:lvlText w:val="-"/>
      <w:lvlJc w:val="left"/>
      <w:pPr>
        <w:ind w:left="720" w:hanging="360"/>
      </w:pPr>
      <w:rPr>
        <w:rFonts w:ascii="Yu Gothic Medium" w:eastAsia="Yu Gothic Medium" w:hAnsi="Yu Gothic Medium"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9E68F9"/>
    <w:multiLevelType w:val="hybridMultilevel"/>
    <w:tmpl w:val="E802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D0A95"/>
    <w:multiLevelType w:val="hybridMultilevel"/>
    <w:tmpl w:val="5ECE5C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BC06D7"/>
    <w:multiLevelType w:val="hybridMultilevel"/>
    <w:tmpl w:val="7876A472"/>
    <w:lvl w:ilvl="0" w:tplc="270428E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7008964"/>
    <w:lvl w:ilvl="0" w:tplc="40A8F8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3C51EE"/>
    <w:multiLevelType w:val="hybridMultilevel"/>
    <w:tmpl w:val="F0B4AAC4"/>
    <w:lvl w:ilvl="0" w:tplc="78B097B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7042383">
    <w:abstractNumId w:val="12"/>
  </w:num>
  <w:num w:numId="2" w16cid:durableId="433520914">
    <w:abstractNumId w:val="10"/>
  </w:num>
  <w:num w:numId="3" w16cid:durableId="1601256190">
    <w:abstractNumId w:val="0"/>
  </w:num>
  <w:num w:numId="4" w16cid:durableId="431820606">
    <w:abstractNumId w:val="14"/>
  </w:num>
  <w:num w:numId="5" w16cid:durableId="1983921131">
    <w:abstractNumId w:val="16"/>
  </w:num>
  <w:num w:numId="6" w16cid:durableId="576524169">
    <w:abstractNumId w:val="5"/>
  </w:num>
  <w:num w:numId="7" w16cid:durableId="1303534576">
    <w:abstractNumId w:val="6"/>
  </w:num>
  <w:num w:numId="8" w16cid:durableId="346447330">
    <w:abstractNumId w:val="3"/>
  </w:num>
  <w:num w:numId="9" w16cid:durableId="1746562311">
    <w:abstractNumId w:val="18"/>
  </w:num>
  <w:num w:numId="10" w16cid:durableId="1786850078">
    <w:abstractNumId w:val="9"/>
  </w:num>
  <w:num w:numId="11" w16cid:durableId="821652402">
    <w:abstractNumId w:val="17"/>
  </w:num>
  <w:num w:numId="12" w16cid:durableId="1849565757">
    <w:abstractNumId w:val="8"/>
  </w:num>
  <w:num w:numId="13" w16cid:durableId="1056398454">
    <w:abstractNumId w:val="13"/>
  </w:num>
  <w:num w:numId="14" w16cid:durableId="478688115">
    <w:abstractNumId w:val="15"/>
  </w:num>
  <w:num w:numId="15" w16cid:durableId="6372247">
    <w:abstractNumId w:val="7"/>
  </w:num>
  <w:num w:numId="16" w16cid:durableId="855850147">
    <w:abstractNumId w:val="1"/>
  </w:num>
  <w:num w:numId="17" w16cid:durableId="1074550537">
    <w:abstractNumId w:val="19"/>
  </w:num>
  <w:num w:numId="18" w16cid:durableId="919484753">
    <w:abstractNumId w:val="11"/>
  </w:num>
  <w:num w:numId="19" w16cid:durableId="410658761">
    <w:abstractNumId w:val="4"/>
  </w:num>
  <w:num w:numId="20" w16cid:durableId="57521029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5E"/>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22D"/>
    <w:rsid w:val="000162DD"/>
    <w:rsid w:val="00016868"/>
    <w:rsid w:val="00016967"/>
    <w:rsid w:val="00016C6A"/>
    <w:rsid w:val="00016CA3"/>
    <w:rsid w:val="000171B6"/>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14E"/>
    <w:rsid w:val="0002445A"/>
    <w:rsid w:val="00024569"/>
    <w:rsid w:val="00024671"/>
    <w:rsid w:val="00024A82"/>
    <w:rsid w:val="00024B87"/>
    <w:rsid w:val="00024F8B"/>
    <w:rsid w:val="000250D3"/>
    <w:rsid w:val="0002562A"/>
    <w:rsid w:val="0002564D"/>
    <w:rsid w:val="00025861"/>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261"/>
    <w:rsid w:val="000303D3"/>
    <w:rsid w:val="0003065F"/>
    <w:rsid w:val="00031103"/>
    <w:rsid w:val="0003127F"/>
    <w:rsid w:val="00031383"/>
    <w:rsid w:val="00031448"/>
    <w:rsid w:val="00031477"/>
    <w:rsid w:val="00031616"/>
    <w:rsid w:val="000318A0"/>
    <w:rsid w:val="00031E6B"/>
    <w:rsid w:val="000321A1"/>
    <w:rsid w:val="000325B8"/>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E85"/>
    <w:rsid w:val="00044222"/>
    <w:rsid w:val="000444EF"/>
    <w:rsid w:val="0004480B"/>
    <w:rsid w:val="000452C7"/>
    <w:rsid w:val="00045718"/>
    <w:rsid w:val="00045755"/>
    <w:rsid w:val="00045CC5"/>
    <w:rsid w:val="00045D79"/>
    <w:rsid w:val="00045E47"/>
    <w:rsid w:val="00045ECA"/>
    <w:rsid w:val="0004632E"/>
    <w:rsid w:val="00046352"/>
    <w:rsid w:val="0004645C"/>
    <w:rsid w:val="0004663F"/>
    <w:rsid w:val="00046929"/>
    <w:rsid w:val="00046946"/>
    <w:rsid w:val="000469F3"/>
    <w:rsid w:val="00046F5E"/>
    <w:rsid w:val="0004734C"/>
    <w:rsid w:val="0004768F"/>
    <w:rsid w:val="0004775F"/>
    <w:rsid w:val="00047D6A"/>
    <w:rsid w:val="000501C6"/>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48"/>
    <w:rsid w:val="000527E3"/>
    <w:rsid w:val="00052A07"/>
    <w:rsid w:val="00052C7C"/>
    <w:rsid w:val="00052F58"/>
    <w:rsid w:val="0005309B"/>
    <w:rsid w:val="000534E3"/>
    <w:rsid w:val="0005375E"/>
    <w:rsid w:val="00054041"/>
    <w:rsid w:val="0005408A"/>
    <w:rsid w:val="00054356"/>
    <w:rsid w:val="00054509"/>
    <w:rsid w:val="000551A4"/>
    <w:rsid w:val="00055651"/>
    <w:rsid w:val="0005606A"/>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A2"/>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E1A"/>
    <w:rsid w:val="00066357"/>
    <w:rsid w:val="000664EC"/>
    <w:rsid w:val="00066765"/>
    <w:rsid w:val="000668D1"/>
    <w:rsid w:val="000669BF"/>
    <w:rsid w:val="00066B73"/>
    <w:rsid w:val="00066F62"/>
    <w:rsid w:val="00067187"/>
    <w:rsid w:val="0006728B"/>
    <w:rsid w:val="00067469"/>
    <w:rsid w:val="0006774C"/>
    <w:rsid w:val="00067F08"/>
    <w:rsid w:val="00067FEE"/>
    <w:rsid w:val="0007012D"/>
    <w:rsid w:val="00070245"/>
    <w:rsid w:val="00070437"/>
    <w:rsid w:val="0007055E"/>
    <w:rsid w:val="00070862"/>
    <w:rsid w:val="0007132D"/>
    <w:rsid w:val="00071575"/>
    <w:rsid w:val="00071670"/>
    <w:rsid w:val="00071B75"/>
    <w:rsid w:val="00071E88"/>
    <w:rsid w:val="0007267F"/>
    <w:rsid w:val="0007278E"/>
    <w:rsid w:val="000730B2"/>
    <w:rsid w:val="000735E9"/>
    <w:rsid w:val="000740AE"/>
    <w:rsid w:val="000740D8"/>
    <w:rsid w:val="0007427A"/>
    <w:rsid w:val="000743ED"/>
    <w:rsid w:val="0007447D"/>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4EC"/>
    <w:rsid w:val="00091557"/>
    <w:rsid w:val="00091857"/>
    <w:rsid w:val="000922CF"/>
    <w:rsid w:val="000924C1"/>
    <w:rsid w:val="000924F0"/>
    <w:rsid w:val="00092649"/>
    <w:rsid w:val="00092844"/>
    <w:rsid w:val="000929ED"/>
    <w:rsid w:val="00092D3D"/>
    <w:rsid w:val="00092F9D"/>
    <w:rsid w:val="000931D4"/>
    <w:rsid w:val="00093474"/>
    <w:rsid w:val="00093AB3"/>
    <w:rsid w:val="00093DA0"/>
    <w:rsid w:val="000942C7"/>
    <w:rsid w:val="000942EC"/>
    <w:rsid w:val="00094435"/>
    <w:rsid w:val="000947E1"/>
    <w:rsid w:val="00094B57"/>
    <w:rsid w:val="00094D92"/>
    <w:rsid w:val="0009510F"/>
    <w:rsid w:val="0009588A"/>
    <w:rsid w:val="00095A59"/>
    <w:rsid w:val="00095B54"/>
    <w:rsid w:val="00095C09"/>
    <w:rsid w:val="00095DD1"/>
    <w:rsid w:val="000964C0"/>
    <w:rsid w:val="000964E2"/>
    <w:rsid w:val="0009660D"/>
    <w:rsid w:val="0009683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F9"/>
    <w:rsid w:val="000A1B7B"/>
    <w:rsid w:val="000A1E3B"/>
    <w:rsid w:val="000A2128"/>
    <w:rsid w:val="000A2414"/>
    <w:rsid w:val="000A267E"/>
    <w:rsid w:val="000A2806"/>
    <w:rsid w:val="000A2849"/>
    <w:rsid w:val="000A2B66"/>
    <w:rsid w:val="000A2CBA"/>
    <w:rsid w:val="000A2D3B"/>
    <w:rsid w:val="000A2E72"/>
    <w:rsid w:val="000A302B"/>
    <w:rsid w:val="000A33C6"/>
    <w:rsid w:val="000A3670"/>
    <w:rsid w:val="000A36A6"/>
    <w:rsid w:val="000A3A2D"/>
    <w:rsid w:val="000A3F15"/>
    <w:rsid w:val="000A3F39"/>
    <w:rsid w:val="000A4092"/>
    <w:rsid w:val="000A41A9"/>
    <w:rsid w:val="000A41D9"/>
    <w:rsid w:val="000A4307"/>
    <w:rsid w:val="000A4715"/>
    <w:rsid w:val="000A529C"/>
    <w:rsid w:val="000A5642"/>
    <w:rsid w:val="000A5688"/>
    <w:rsid w:val="000A56F2"/>
    <w:rsid w:val="000A58B2"/>
    <w:rsid w:val="000A646D"/>
    <w:rsid w:val="000A6668"/>
    <w:rsid w:val="000A66F1"/>
    <w:rsid w:val="000A6E28"/>
    <w:rsid w:val="000A74BD"/>
    <w:rsid w:val="000A74D9"/>
    <w:rsid w:val="000A756C"/>
    <w:rsid w:val="000A7E50"/>
    <w:rsid w:val="000B0094"/>
    <w:rsid w:val="000B0497"/>
    <w:rsid w:val="000B0884"/>
    <w:rsid w:val="000B0E9E"/>
    <w:rsid w:val="000B1228"/>
    <w:rsid w:val="000B1AB4"/>
    <w:rsid w:val="000B1D54"/>
    <w:rsid w:val="000B1D72"/>
    <w:rsid w:val="000B20AB"/>
    <w:rsid w:val="000B23ED"/>
    <w:rsid w:val="000B2719"/>
    <w:rsid w:val="000B275D"/>
    <w:rsid w:val="000B2B8B"/>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109E"/>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4549"/>
    <w:rsid w:val="000C45B9"/>
    <w:rsid w:val="000C476B"/>
    <w:rsid w:val="000C4D4D"/>
    <w:rsid w:val="000C4EB0"/>
    <w:rsid w:val="000C507E"/>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432"/>
    <w:rsid w:val="000D05EF"/>
    <w:rsid w:val="000D07A0"/>
    <w:rsid w:val="000D092F"/>
    <w:rsid w:val="000D0C97"/>
    <w:rsid w:val="000D0D07"/>
    <w:rsid w:val="000D17AC"/>
    <w:rsid w:val="000D17EC"/>
    <w:rsid w:val="000D2057"/>
    <w:rsid w:val="000D21CA"/>
    <w:rsid w:val="000D26F2"/>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45ED"/>
    <w:rsid w:val="000E4D8A"/>
    <w:rsid w:val="000E4DF1"/>
    <w:rsid w:val="000E51ED"/>
    <w:rsid w:val="000E5329"/>
    <w:rsid w:val="000E5502"/>
    <w:rsid w:val="000E5689"/>
    <w:rsid w:val="000E56B4"/>
    <w:rsid w:val="000E5970"/>
    <w:rsid w:val="000E5CB7"/>
    <w:rsid w:val="000E5E15"/>
    <w:rsid w:val="000E6011"/>
    <w:rsid w:val="000E61FA"/>
    <w:rsid w:val="000E6CC1"/>
    <w:rsid w:val="000E70ED"/>
    <w:rsid w:val="000E730C"/>
    <w:rsid w:val="000E7746"/>
    <w:rsid w:val="000E7882"/>
    <w:rsid w:val="000E7CB9"/>
    <w:rsid w:val="000F03C7"/>
    <w:rsid w:val="000F0635"/>
    <w:rsid w:val="000F06D6"/>
    <w:rsid w:val="000F08B6"/>
    <w:rsid w:val="000F0CEB"/>
    <w:rsid w:val="000F0E61"/>
    <w:rsid w:val="000F0EB1"/>
    <w:rsid w:val="000F1106"/>
    <w:rsid w:val="000F12AF"/>
    <w:rsid w:val="000F130A"/>
    <w:rsid w:val="000F153B"/>
    <w:rsid w:val="000F1CFC"/>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59D"/>
    <w:rsid w:val="000F6A20"/>
    <w:rsid w:val="000F6DF3"/>
    <w:rsid w:val="000F6EDC"/>
    <w:rsid w:val="000F6F01"/>
    <w:rsid w:val="000F6F89"/>
    <w:rsid w:val="000F71F4"/>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E07"/>
    <w:rsid w:val="00123E60"/>
    <w:rsid w:val="00124314"/>
    <w:rsid w:val="00124756"/>
    <w:rsid w:val="001247F1"/>
    <w:rsid w:val="00124B5D"/>
    <w:rsid w:val="00124D3A"/>
    <w:rsid w:val="00125274"/>
    <w:rsid w:val="0012532D"/>
    <w:rsid w:val="0012539A"/>
    <w:rsid w:val="00125688"/>
    <w:rsid w:val="00125BC2"/>
    <w:rsid w:val="00125C27"/>
    <w:rsid w:val="00125D63"/>
    <w:rsid w:val="00126597"/>
    <w:rsid w:val="00126B0A"/>
    <w:rsid w:val="00126B4A"/>
    <w:rsid w:val="00126B7A"/>
    <w:rsid w:val="00126D6C"/>
    <w:rsid w:val="0012716D"/>
    <w:rsid w:val="0012743D"/>
    <w:rsid w:val="00127785"/>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74"/>
    <w:rsid w:val="00142D50"/>
    <w:rsid w:val="00142FEC"/>
    <w:rsid w:val="00143152"/>
    <w:rsid w:val="001434F4"/>
    <w:rsid w:val="001435A9"/>
    <w:rsid w:val="00143655"/>
    <w:rsid w:val="0014378E"/>
    <w:rsid w:val="001437D1"/>
    <w:rsid w:val="00143E30"/>
    <w:rsid w:val="00143F0D"/>
    <w:rsid w:val="00143F67"/>
    <w:rsid w:val="001441A8"/>
    <w:rsid w:val="00144669"/>
    <w:rsid w:val="001449EF"/>
    <w:rsid w:val="001449F3"/>
    <w:rsid w:val="00144B6E"/>
    <w:rsid w:val="001452C5"/>
    <w:rsid w:val="00145391"/>
    <w:rsid w:val="00145414"/>
    <w:rsid w:val="001457AD"/>
    <w:rsid w:val="001457E7"/>
    <w:rsid w:val="001459C4"/>
    <w:rsid w:val="001459D5"/>
    <w:rsid w:val="00145A92"/>
    <w:rsid w:val="00145EF4"/>
    <w:rsid w:val="00146294"/>
    <w:rsid w:val="00146C03"/>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0E5"/>
    <w:rsid w:val="00152104"/>
    <w:rsid w:val="001526E0"/>
    <w:rsid w:val="001529D3"/>
    <w:rsid w:val="00152D00"/>
    <w:rsid w:val="001531BF"/>
    <w:rsid w:val="0015356E"/>
    <w:rsid w:val="0015393C"/>
    <w:rsid w:val="0015397F"/>
    <w:rsid w:val="00153B8C"/>
    <w:rsid w:val="00153DAD"/>
    <w:rsid w:val="001544A1"/>
    <w:rsid w:val="001548FB"/>
    <w:rsid w:val="00154AF4"/>
    <w:rsid w:val="00154B56"/>
    <w:rsid w:val="00154C63"/>
    <w:rsid w:val="001551B5"/>
    <w:rsid w:val="0015536E"/>
    <w:rsid w:val="001554EB"/>
    <w:rsid w:val="001557EF"/>
    <w:rsid w:val="0015591A"/>
    <w:rsid w:val="00155CC9"/>
    <w:rsid w:val="00155D0C"/>
    <w:rsid w:val="00155D2E"/>
    <w:rsid w:val="00155D67"/>
    <w:rsid w:val="00155DED"/>
    <w:rsid w:val="00155E9F"/>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D4"/>
    <w:rsid w:val="00160F14"/>
    <w:rsid w:val="00161647"/>
    <w:rsid w:val="00161AD9"/>
    <w:rsid w:val="00161ADC"/>
    <w:rsid w:val="00161B2A"/>
    <w:rsid w:val="00161CD7"/>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929"/>
    <w:rsid w:val="00174E69"/>
    <w:rsid w:val="00174FBF"/>
    <w:rsid w:val="0017502C"/>
    <w:rsid w:val="001750F5"/>
    <w:rsid w:val="001755F6"/>
    <w:rsid w:val="00175843"/>
    <w:rsid w:val="00175947"/>
    <w:rsid w:val="00175A3A"/>
    <w:rsid w:val="00175A90"/>
    <w:rsid w:val="00176290"/>
    <w:rsid w:val="001769AE"/>
    <w:rsid w:val="00176BE9"/>
    <w:rsid w:val="00176CAB"/>
    <w:rsid w:val="001771D6"/>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03"/>
    <w:rsid w:val="00184EA5"/>
    <w:rsid w:val="00184EBE"/>
    <w:rsid w:val="00184F37"/>
    <w:rsid w:val="001852A0"/>
    <w:rsid w:val="00185430"/>
    <w:rsid w:val="001859FC"/>
    <w:rsid w:val="00185AC7"/>
    <w:rsid w:val="001862FD"/>
    <w:rsid w:val="00186711"/>
    <w:rsid w:val="00186B4C"/>
    <w:rsid w:val="00186E1D"/>
    <w:rsid w:val="001871F3"/>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83C"/>
    <w:rsid w:val="001B2042"/>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C02A0"/>
    <w:rsid w:val="001C03F0"/>
    <w:rsid w:val="001C0601"/>
    <w:rsid w:val="001C0D27"/>
    <w:rsid w:val="001C0E90"/>
    <w:rsid w:val="001C159D"/>
    <w:rsid w:val="001C1CE5"/>
    <w:rsid w:val="001C1DCD"/>
    <w:rsid w:val="001C1E25"/>
    <w:rsid w:val="001C1FB1"/>
    <w:rsid w:val="001C2069"/>
    <w:rsid w:val="001C2496"/>
    <w:rsid w:val="001C24FB"/>
    <w:rsid w:val="001C38B8"/>
    <w:rsid w:val="001C3B31"/>
    <w:rsid w:val="001C3CF9"/>
    <w:rsid w:val="001C3D2A"/>
    <w:rsid w:val="001C400D"/>
    <w:rsid w:val="001C4057"/>
    <w:rsid w:val="001C4ADF"/>
    <w:rsid w:val="001C4C4A"/>
    <w:rsid w:val="001C511D"/>
    <w:rsid w:val="001C5388"/>
    <w:rsid w:val="001C5954"/>
    <w:rsid w:val="001C5AD1"/>
    <w:rsid w:val="001C5ADB"/>
    <w:rsid w:val="001C5D10"/>
    <w:rsid w:val="001C618C"/>
    <w:rsid w:val="001C61D4"/>
    <w:rsid w:val="001C63A3"/>
    <w:rsid w:val="001C6663"/>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3F"/>
    <w:rsid w:val="001D6D53"/>
    <w:rsid w:val="001D6DAA"/>
    <w:rsid w:val="001D6FE4"/>
    <w:rsid w:val="001D7108"/>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F1A"/>
    <w:rsid w:val="001E4F3B"/>
    <w:rsid w:val="001E5288"/>
    <w:rsid w:val="001E52B8"/>
    <w:rsid w:val="001E552C"/>
    <w:rsid w:val="001E5624"/>
    <w:rsid w:val="001E565D"/>
    <w:rsid w:val="001E58E2"/>
    <w:rsid w:val="001E5B2A"/>
    <w:rsid w:val="001E6166"/>
    <w:rsid w:val="001E62F5"/>
    <w:rsid w:val="001E69C4"/>
    <w:rsid w:val="001E6AB7"/>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7074"/>
    <w:rsid w:val="001F735E"/>
    <w:rsid w:val="001F7398"/>
    <w:rsid w:val="001F77B7"/>
    <w:rsid w:val="001F7A41"/>
    <w:rsid w:val="001F7C79"/>
    <w:rsid w:val="002001F5"/>
    <w:rsid w:val="00200490"/>
    <w:rsid w:val="00200907"/>
    <w:rsid w:val="00200D12"/>
    <w:rsid w:val="00201681"/>
    <w:rsid w:val="00201963"/>
    <w:rsid w:val="00201ED7"/>
    <w:rsid w:val="00201F3A"/>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4B"/>
    <w:rsid w:val="00206B5C"/>
    <w:rsid w:val="00206BAD"/>
    <w:rsid w:val="00206E90"/>
    <w:rsid w:val="002075CC"/>
    <w:rsid w:val="00207692"/>
    <w:rsid w:val="00207B7F"/>
    <w:rsid w:val="00207C0F"/>
    <w:rsid w:val="00207D71"/>
    <w:rsid w:val="00207FA3"/>
    <w:rsid w:val="002103AA"/>
    <w:rsid w:val="0021062D"/>
    <w:rsid w:val="002106AC"/>
    <w:rsid w:val="00210BB7"/>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BF8"/>
    <w:rsid w:val="00214D30"/>
    <w:rsid w:val="00214DA8"/>
    <w:rsid w:val="00214FCF"/>
    <w:rsid w:val="002151DA"/>
    <w:rsid w:val="00215423"/>
    <w:rsid w:val="00215752"/>
    <w:rsid w:val="002158FA"/>
    <w:rsid w:val="00215D44"/>
    <w:rsid w:val="00215FF7"/>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F67"/>
    <w:rsid w:val="00223012"/>
    <w:rsid w:val="0022361D"/>
    <w:rsid w:val="00223709"/>
    <w:rsid w:val="002238B1"/>
    <w:rsid w:val="00223E3E"/>
    <w:rsid w:val="00223FCB"/>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FF"/>
    <w:rsid w:val="00232D26"/>
    <w:rsid w:val="00232E06"/>
    <w:rsid w:val="00233016"/>
    <w:rsid w:val="00233132"/>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22E"/>
    <w:rsid w:val="002476A5"/>
    <w:rsid w:val="002476CA"/>
    <w:rsid w:val="002477BC"/>
    <w:rsid w:val="00247C74"/>
    <w:rsid w:val="00247D57"/>
    <w:rsid w:val="002500C8"/>
    <w:rsid w:val="0025015F"/>
    <w:rsid w:val="00250570"/>
    <w:rsid w:val="002507EE"/>
    <w:rsid w:val="00250A5F"/>
    <w:rsid w:val="00250C0A"/>
    <w:rsid w:val="00250FD2"/>
    <w:rsid w:val="00251438"/>
    <w:rsid w:val="00251B1D"/>
    <w:rsid w:val="00251B2B"/>
    <w:rsid w:val="00251CE7"/>
    <w:rsid w:val="00251F50"/>
    <w:rsid w:val="00252406"/>
    <w:rsid w:val="00252998"/>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2B"/>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A3F"/>
    <w:rsid w:val="00267A85"/>
    <w:rsid w:val="00267C83"/>
    <w:rsid w:val="00267E2C"/>
    <w:rsid w:val="0027014B"/>
    <w:rsid w:val="002701B8"/>
    <w:rsid w:val="002706ED"/>
    <w:rsid w:val="0027073C"/>
    <w:rsid w:val="00270839"/>
    <w:rsid w:val="00270920"/>
    <w:rsid w:val="00270B15"/>
    <w:rsid w:val="00270B39"/>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33"/>
    <w:rsid w:val="00282C61"/>
    <w:rsid w:val="00282CB8"/>
    <w:rsid w:val="00282E7C"/>
    <w:rsid w:val="00282F93"/>
    <w:rsid w:val="0028327D"/>
    <w:rsid w:val="00283D61"/>
    <w:rsid w:val="00283DB8"/>
    <w:rsid w:val="00284286"/>
    <w:rsid w:val="0028499F"/>
    <w:rsid w:val="00284A05"/>
    <w:rsid w:val="00284A60"/>
    <w:rsid w:val="00284B84"/>
    <w:rsid w:val="002850DE"/>
    <w:rsid w:val="00285122"/>
    <w:rsid w:val="00285540"/>
    <w:rsid w:val="00285603"/>
    <w:rsid w:val="00285604"/>
    <w:rsid w:val="00285F6D"/>
    <w:rsid w:val="002860E5"/>
    <w:rsid w:val="002861EB"/>
    <w:rsid w:val="0028623F"/>
    <w:rsid w:val="002862D7"/>
    <w:rsid w:val="002863D1"/>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C6"/>
    <w:rsid w:val="00292D8F"/>
    <w:rsid w:val="00292EB7"/>
    <w:rsid w:val="0029333B"/>
    <w:rsid w:val="0029381A"/>
    <w:rsid w:val="00293C73"/>
    <w:rsid w:val="00294365"/>
    <w:rsid w:val="0029461A"/>
    <w:rsid w:val="002947AE"/>
    <w:rsid w:val="00294810"/>
    <w:rsid w:val="00294A5C"/>
    <w:rsid w:val="00294BBD"/>
    <w:rsid w:val="00294C96"/>
    <w:rsid w:val="0029508E"/>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77D"/>
    <w:rsid w:val="00297E60"/>
    <w:rsid w:val="00297F62"/>
    <w:rsid w:val="002A055E"/>
    <w:rsid w:val="002A0589"/>
    <w:rsid w:val="002A0A56"/>
    <w:rsid w:val="002A0E38"/>
    <w:rsid w:val="002A13E7"/>
    <w:rsid w:val="002A19D1"/>
    <w:rsid w:val="002A1D4E"/>
    <w:rsid w:val="002A24C2"/>
    <w:rsid w:val="002A2541"/>
    <w:rsid w:val="002A26F9"/>
    <w:rsid w:val="002A2758"/>
    <w:rsid w:val="002A2869"/>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3399"/>
    <w:rsid w:val="002B340C"/>
    <w:rsid w:val="002B3453"/>
    <w:rsid w:val="002B3618"/>
    <w:rsid w:val="002B3B1A"/>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691"/>
    <w:rsid w:val="002B6775"/>
    <w:rsid w:val="002B690C"/>
    <w:rsid w:val="002B6AF7"/>
    <w:rsid w:val="002B6F27"/>
    <w:rsid w:val="002B707D"/>
    <w:rsid w:val="002B71BA"/>
    <w:rsid w:val="002B74FA"/>
    <w:rsid w:val="002B762F"/>
    <w:rsid w:val="002B78CE"/>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C7F"/>
    <w:rsid w:val="002C5DD2"/>
    <w:rsid w:val="002C6097"/>
    <w:rsid w:val="002C6705"/>
    <w:rsid w:val="002C699D"/>
    <w:rsid w:val="002C6E5B"/>
    <w:rsid w:val="002C7319"/>
    <w:rsid w:val="002C7472"/>
    <w:rsid w:val="002C7A07"/>
    <w:rsid w:val="002C7AEB"/>
    <w:rsid w:val="002D011A"/>
    <w:rsid w:val="002D0342"/>
    <w:rsid w:val="002D0570"/>
    <w:rsid w:val="002D0631"/>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ED1"/>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00D"/>
    <w:rsid w:val="002D7123"/>
    <w:rsid w:val="002D73F0"/>
    <w:rsid w:val="002D73F7"/>
    <w:rsid w:val="002D7637"/>
    <w:rsid w:val="002D76A8"/>
    <w:rsid w:val="002D7A2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DB"/>
    <w:rsid w:val="002F0918"/>
    <w:rsid w:val="002F110C"/>
    <w:rsid w:val="002F129E"/>
    <w:rsid w:val="002F13E4"/>
    <w:rsid w:val="002F167A"/>
    <w:rsid w:val="002F196A"/>
    <w:rsid w:val="002F1A04"/>
    <w:rsid w:val="002F1B50"/>
    <w:rsid w:val="002F1D6D"/>
    <w:rsid w:val="002F1FAB"/>
    <w:rsid w:val="002F207F"/>
    <w:rsid w:val="002F2546"/>
    <w:rsid w:val="002F2771"/>
    <w:rsid w:val="002F2CD2"/>
    <w:rsid w:val="002F2E23"/>
    <w:rsid w:val="002F2F01"/>
    <w:rsid w:val="002F3150"/>
    <w:rsid w:val="002F321F"/>
    <w:rsid w:val="002F3392"/>
    <w:rsid w:val="002F36D2"/>
    <w:rsid w:val="002F37A9"/>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809"/>
    <w:rsid w:val="00302896"/>
    <w:rsid w:val="00302CB2"/>
    <w:rsid w:val="00302CDE"/>
    <w:rsid w:val="00303121"/>
    <w:rsid w:val="0030326A"/>
    <w:rsid w:val="0030354C"/>
    <w:rsid w:val="003038FB"/>
    <w:rsid w:val="0030399E"/>
    <w:rsid w:val="00303AB4"/>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25C"/>
    <w:rsid w:val="003203ED"/>
    <w:rsid w:val="00320569"/>
    <w:rsid w:val="00320910"/>
    <w:rsid w:val="00320F1C"/>
    <w:rsid w:val="00320F83"/>
    <w:rsid w:val="00321352"/>
    <w:rsid w:val="0032164F"/>
    <w:rsid w:val="0032197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B06"/>
    <w:rsid w:val="00327AAA"/>
    <w:rsid w:val="00327B72"/>
    <w:rsid w:val="00327BD1"/>
    <w:rsid w:val="00327D14"/>
    <w:rsid w:val="00327E89"/>
    <w:rsid w:val="00327F32"/>
    <w:rsid w:val="0033055A"/>
    <w:rsid w:val="003308A6"/>
    <w:rsid w:val="00330BF6"/>
    <w:rsid w:val="00330ECF"/>
    <w:rsid w:val="00331256"/>
    <w:rsid w:val="00331318"/>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488"/>
    <w:rsid w:val="00335858"/>
    <w:rsid w:val="00335952"/>
    <w:rsid w:val="00335A51"/>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20B6"/>
    <w:rsid w:val="003523E9"/>
    <w:rsid w:val="003526A5"/>
    <w:rsid w:val="00352AFE"/>
    <w:rsid w:val="0035337D"/>
    <w:rsid w:val="003538B6"/>
    <w:rsid w:val="00353DBD"/>
    <w:rsid w:val="00353F80"/>
    <w:rsid w:val="00354008"/>
    <w:rsid w:val="003540AC"/>
    <w:rsid w:val="0035415D"/>
    <w:rsid w:val="003545E4"/>
    <w:rsid w:val="00354D8C"/>
    <w:rsid w:val="003554DB"/>
    <w:rsid w:val="003557B5"/>
    <w:rsid w:val="0035599C"/>
    <w:rsid w:val="00356677"/>
    <w:rsid w:val="00356731"/>
    <w:rsid w:val="00356DFE"/>
    <w:rsid w:val="00356E9B"/>
    <w:rsid w:val="00357378"/>
    <w:rsid w:val="00357380"/>
    <w:rsid w:val="00357738"/>
    <w:rsid w:val="0035798D"/>
    <w:rsid w:val="0036016B"/>
    <w:rsid w:val="003602D9"/>
    <w:rsid w:val="00360452"/>
    <w:rsid w:val="003604CE"/>
    <w:rsid w:val="003605A4"/>
    <w:rsid w:val="003608A0"/>
    <w:rsid w:val="00360AA0"/>
    <w:rsid w:val="00360B95"/>
    <w:rsid w:val="00361259"/>
    <w:rsid w:val="003615F3"/>
    <w:rsid w:val="00361771"/>
    <w:rsid w:val="00361AD8"/>
    <w:rsid w:val="00361FD3"/>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A4E"/>
    <w:rsid w:val="00381C71"/>
    <w:rsid w:val="00382247"/>
    <w:rsid w:val="003823B4"/>
    <w:rsid w:val="0038240B"/>
    <w:rsid w:val="003824BD"/>
    <w:rsid w:val="00382654"/>
    <w:rsid w:val="003828B1"/>
    <w:rsid w:val="00382991"/>
    <w:rsid w:val="0038348C"/>
    <w:rsid w:val="003834DF"/>
    <w:rsid w:val="003835FC"/>
    <w:rsid w:val="00383A84"/>
    <w:rsid w:val="00383B9D"/>
    <w:rsid w:val="00383FBC"/>
    <w:rsid w:val="0038433F"/>
    <w:rsid w:val="00384469"/>
    <w:rsid w:val="003846EF"/>
    <w:rsid w:val="003847D7"/>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2139"/>
    <w:rsid w:val="003B2145"/>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806"/>
    <w:rsid w:val="003C7A38"/>
    <w:rsid w:val="003C7B58"/>
    <w:rsid w:val="003C7B61"/>
    <w:rsid w:val="003C7BE1"/>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BE"/>
    <w:rsid w:val="003D30F7"/>
    <w:rsid w:val="003D322A"/>
    <w:rsid w:val="003D3371"/>
    <w:rsid w:val="003D3C45"/>
    <w:rsid w:val="003D4678"/>
    <w:rsid w:val="003D4C1C"/>
    <w:rsid w:val="003D4F03"/>
    <w:rsid w:val="003D5055"/>
    <w:rsid w:val="003D52F6"/>
    <w:rsid w:val="003D5388"/>
    <w:rsid w:val="003D5834"/>
    <w:rsid w:val="003D5ACC"/>
    <w:rsid w:val="003D5B1F"/>
    <w:rsid w:val="003D5D79"/>
    <w:rsid w:val="003D61D4"/>
    <w:rsid w:val="003D6200"/>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3099"/>
    <w:rsid w:val="003E340C"/>
    <w:rsid w:val="003E349C"/>
    <w:rsid w:val="003E36E0"/>
    <w:rsid w:val="003E3A5F"/>
    <w:rsid w:val="003E3FA9"/>
    <w:rsid w:val="003E45E6"/>
    <w:rsid w:val="003E4953"/>
    <w:rsid w:val="003E4C9C"/>
    <w:rsid w:val="003E5018"/>
    <w:rsid w:val="003E53E9"/>
    <w:rsid w:val="003E5591"/>
    <w:rsid w:val="003E55E4"/>
    <w:rsid w:val="003E56FB"/>
    <w:rsid w:val="003E6453"/>
    <w:rsid w:val="003E6C49"/>
    <w:rsid w:val="003E6F5E"/>
    <w:rsid w:val="003E74E3"/>
    <w:rsid w:val="003E796B"/>
    <w:rsid w:val="003F05C7"/>
    <w:rsid w:val="003F06A2"/>
    <w:rsid w:val="003F087F"/>
    <w:rsid w:val="003F08D4"/>
    <w:rsid w:val="003F0E61"/>
    <w:rsid w:val="003F17CB"/>
    <w:rsid w:val="003F1854"/>
    <w:rsid w:val="003F19F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9A1"/>
    <w:rsid w:val="00401133"/>
    <w:rsid w:val="004018FB"/>
    <w:rsid w:val="004018FD"/>
    <w:rsid w:val="00401AA6"/>
    <w:rsid w:val="00401CC3"/>
    <w:rsid w:val="00401FE6"/>
    <w:rsid w:val="004020BD"/>
    <w:rsid w:val="004022EA"/>
    <w:rsid w:val="0040247F"/>
    <w:rsid w:val="00402821"/>
    <w:rsid w:val="00402A4D"/>
    <w:rsid w:val="00402E2B"/>
    <w:rsid w:val="00403063"/>
    <w:rsid w:val="0040359D"/>
    <w:rsid w:val="00403966"/>
    <w:rsid w:val="00403A61"/>
    <w:rsid w:val="00403FDB"/>
    <w:rsid w:val="004042FA"/>
    <w:rsid w:val="00404336"/>
    <w:rsid w:val="00404D45"/>
    <w:rsid w:val="0040512B"/>
    <w:rsid w:val="00405CA5"/>
    <w:rsid w:val="00405D57"/>
    <w:rsid w:val="00405ECE"/>
    <w:rsid w:val="00405FE2"/>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D3B"/>
    <w:rsid w:val="00410E77"/>
    <w:rsid w:val="00410F18"/>
    <w:rsid w:val="00410F91"/>
    <w:rsid w:val="0041193D"/>
    <w:rsid w:val="0041195C"/>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F0E"/>
    <w:rsid w:val="0043276A"/>
    <w:rsid w:val="00432AC8"/>
    <w:rsid w:val="004333D6"/>
    <w:rsid w:val="00433468"/>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3A5A"/>
    <w:rsid w:val="00444373"/>
    <w:rsid w:val="0044455C"/>
    <w:rsid w:val="00444565"/>
    <w:rsid w:val="00444578"/>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D2E"/>
    <w:rsid w:val="00454439"/>
    <w:rsid w:val="00454573"/>
    <w:rsid w:val="00454892"/>
    <w:rsid w:val="00454CD6"/>
    <w:rsid w:val="00455233"/>
    <w:rsid w:val="004557B9"/>
    <w:rsid w:val="00455935"/>
    <w:rsid w:val="00455979"/>
    <w:rsid w:val="00455FFA"/>
    <w:rsid w:val="00456322"/>
    <w:rsid w:val="0045692A"/>
    <w:rsid w:val="00456A1C"/>
    <w:rsid w:val="00456CEA"/>
    <w:rsid w:val="00457117"/>
    <w:rsid w:val="00457169"/>
    <w:rsid w:val="004571BE"/>
    <w:rsid w:val="00457565"/>
    <w:rsid w:val="0045764B"/>
    <w:rsid w:val="004579B5"/>
    <w:rsid w:val="00457B71"/>
    <w:rsid w:val="00457C0A"/>
    <w:rsid w:val="00460971"/>
    <w:rsid w:val="00460B8E"/>
    <w:rsid w:val="00460CC7"/>
    <w:rsid w:val="00460CCB"/>
    <w:rsid w:val="00460E52"/>
    <w:rsid w:val="00460FE0"/>
    <w:rsid w:val="0046135A"/>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935"/>
    <w:rsid w:val="00470965"/>
    <w:rsid w:val="00470C31"/>
    <w:rsid w:val="00471050"/>
    <w:rsid w:val="00471917"/>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EC6"/>
    <w:rsid w:val="00474F55"/>
    <w:rsid w:val="00474F76"/>
    <w:rsid w:val="0047556B"/>
    <w:rsid w:val="0047559C"/>
    <w:rsid w:val="004757D4"/>
    <w:rsid w:val="00475903"/>
    <w:rsid w:val="004759B4"/>
    <w:rsid w:val="00475BA3"/>
    <w:rsid w:val="00475C54"/>
    <w:rsid w:val="00475DDD"/>
    <w:rsid w:val="00475DF5"/>
    <w:rsid w:val="00475E23"/>
    <w:rsid w:val="00476403"/>
    <w:rsid w:val="004765DB"/>
    <w:rsid w:val="004767B8"/>
    <w:rsid w:val="00477013"/>
    <w:rsid w:val="0047703B"/>
    <w:rsid w:val="004771B5"/>
    <w:rsid w:val="00477762"/>
    <w:rsid w:val="00477768"/>
    <w:rsid w:val="00477B65"/>
    <w:rsid w:val="00477CE4"/>
    <w:rsid w:val="00477D65"/>
    <w:rsid w:val="00477D9E"/>
    <w:rsid w:val="0048044A"/>
    <w:rsid w:val="0048054F"/>
    <w:rsid w:val="00480AC1"/>
    <w:rsid w:val="00480C4B"/>
    <w:rsid w:val="0048115F"/>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C70"/>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75"/>
    <w:rsid w:val="004918C5"/>
    <w:rsid w:val="004919B2"/>
    <w:rsid w:val="00491A1B"/>
    <w:rsid w:val="00491DB7"/>
    <w:rsid w:val="00491FC8"/>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94E"/>
    <w:rsid w:val="00494AA8"/>
    <w:rsid w:val="00494EF3"/>
    <w:rsid w:val="00494FA1"/>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C"/>
    <w:rsid w:val="004A1FEA"/>
    <w:rsid w:val="004A2474"/>
    <w:rsid w:val="004A2521"/>
    <w:rsid w:val="004A252D"/>
    <w:rsid w:val="004A2798"/>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88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E33"/>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A8D"/>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E31"/>
    <w:rsid w:val="004D6149"/>
    <w:rsid w:val="004D61C9"/>
    <w:rsid w:val="004D6297"/>
    <w:rsid w:val="004D67FC"/>
    <w:rsid w:val="004D68B4"/>
    <w:rsid w:val="004D70CA"/>
    <w:rsid w:val="004D722B"/>
    <w:rsid w:val="004D74E3"/>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14C"/>
    <w:rsid w:val="004F4562"/>
    <w:rsid w:val="004F478B"/>
    <w:rsid w:val="004F4A98"/>
    <w:rsid w:val="004F4C23"/>
    <w:rsid w:val="004F4DA3"/>
    <w:rsid w:val="004F4F18"/>
    <w:rsid w:val="004F5B09"/>
    <w:rsid w:val="004F5CEE"/>
    <w:rsid w:val="004F5EC1"/>
    <w:rsid w:val="004F644B"/>
    <w:rsid w:val="004F75B8"/>
    <w:rsid w:val="004F76F1"/>
    <w:rsid w:val="004F7C13"/>
    <w:rsid w:val="005005E8"/>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7096"/>
    <w:rsid w:val="00507510"/>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3FD"/>
    <w:rsid w:val="005174D3"/>
    <w:rsid w:val="00517657"/>
    <w:rsid w:val="005176B3"/>
    <w:rsid w:val="005177F2"/>
    <w:rsid w:val="00517AD9"/>
    <w:rsid w:val="00517C86"/>
    <w:rsid w:val="00517F61"/>
    <w:rsid w:val="0052019B"/>
    <w:rsid w:val="005203F7"/>
    <w:rsid w:val="00520789"/>
    <w:rsid w:val="005209B3"/>
    <w:rsid w:val="00520D39"/>
    <w:rsid w:val="00520DB5"/>
    <w:rsid w:val="00520FFE"/>
    <w:rsid w:val="005214D5"/>
    <w:rsid w:val="005219CF"/>
    <w:rsid w:val="00521F2E"/>
    <w:rsid w:val="00521F44"/>
    <w:rsid w:val="005225C5"/>
    <w:rsid w:val="00522627"/>
    <w:rsid w:val="00522BC4"/>
    <w:rsid w:val="00522CD7"/>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A58"/>
    <w:rsid w:val="00534A64"/>
    <w:rsid w:val="00534B44"/>
    <w:rsid w:val="00534B59"/>
    <w:rsid w:val="00534D77"/>
    <w:rsid w:val="00535071"/>
    <w:rsid w:val="005352DB"/>
    <w:rsid w:val="00535948"/>
    <w:rsid w:val="00535A13"/>
    <w:rsid w:val="00535A55"/>
    <w:rsid w:val="00535A7A"/>
    <w:rsid w:val="00535BC0"/>
    <w:rsid w:val="00536059"/>
    <w:rsid w:val="00536189"/>
    <w:rsid w:val="0053619F"/>
    <w:rsid w:val="005361DC"/>
    <w:rsid w:val="0053639E"/>
    <w:rsid w:val="00536759"/>
    <w:rsid w:val="00536764"/>
    <w:rsid w:val="00536ED8"/>
    <w:rsid w:val="00536FB8"/>
    <w:rsid w:val="00537126"/>
    <w:rsid w:val="0053790D"/>
    <w:rsid w:val="00537C62"/>
    <w:rsid w:val="0054058B"/>
    <w:rsid w:val="005408F9"/>
    <w:rsid w:val="00540B3A"/>
    <w:rsid w:val="00541432"/>
    <w:rsid w:val="00541F1E"/>
    <w:rsid w:val="00541F97"/>
    <w:rsid w:val="005424C5"/>
    <w:rsid w:val="00542518"/>
    <w:rsid w:val="00542873"/>
    <w:rsid w:val="00542A37"/>
    <w:rsid w:val="00542B88"/>
    <w:rsid w:val="00542D65"/>
    <w:rsid w:val="005431F9"/>
    <w:rsid w:val="005435BD"/>
    <w:rsid w:val="0054374A"/>
    <w:rsid w:val="00543A6D"/>
    <w:rsid w:val="005440F5"/>
    <w:rsid w:val="00544126"/>
    <w:rsid w:val="0054416D"/>
    <w:rsid w:val="005444F6"/>
    <w:rsid w:val="005448F7"/>
    <w:rsid w:val="00544CAE"/>
    <w:rsid w:val="00544DFE"/>
    <w:rsid w:val="00544F46"/>
    <w:rsid w:val="00545050"/>
    <w:rsid w:val="00545112"/>
    <w:rsid w:val="0054517E"/>
    <w:rsid w:val="005453C6"/>
    <w:rsid w:val="00545833"/>
    <w:rsid w:val="005458D6"/>
    <w:rsid w:val="00545CC2"/>
    <w:rsid w:val="00546121"/>
    <w:rsid w:val="0054619E"/>
    <w:rsid w:val="005463C6"/>
    <w:rsid w:val="005464D5"/>
    <w:rsid w:val="00546728"/>
    <w:rsid w:val="00546970"/>
    <w:rsid w:val="005471A3"/>
    <w:rsid w:val="00547271"/>
    <w:rsid w:val="0054784B"/>
    <w:rsid w:val="00547BF0"/>
    <w:rsid w:val="00547CB0"/>
    <w:rsid w:val="0055013F"/>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43ED"/>
    <w:rsid w:val="00554CFB"/>
    <w:rsid w:val="00554E19"/>
    <w:rsid w:val="0055535A"/>
    <w:rsid w:val="00555622"/>
    <w:rsid w:val="00555681"/>
    <w:rsid w:val="0055588D"/>
    <w:rsid w:val="005558C0"/>
    <w:rsid w:val="00555A1D"/>
    <w:rsid w:val="0055636C"/>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C7B"/>
    <w:rsid w:val="00564FFD"/>
    <w:rsid w:val="00565122"/>
    <w:rsid w:val="00565174"/>
    <w:rsid w:val="0056534E"/>
    <w:rsid w:val="00565480"/>
    <w:rsid w:val="00565725"/>
    <w:rsid w:val="005658D5"/>
    <w:rsid w:val="005658F2"/>
    <w:rsid w:val="0056619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ACF"/>
    <w:rsid w:val="005752B4"/>
    <w:rsid w:val="005753CB"/>
    <w:rsid w:val="00575430"/>
    <w:rsid w:val="005754E8"/>
    <w:rsid w:val="00575638"/>
    <w:rsid w:val="005756E3"/>
    <w:rsid w:val="00575AF0"/>
    <w:rsid w:val="005763EB"/>
    <w:rsid w:val="00576506"/>
    <w:rsid w:val="005765D6"/>
    <w:rsid w:val="00576856"/>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3C"/>
    <w:rsid w:val="00582035"/>
    <w:rsid w:val="00582297"/>
    <w:rsid w:val="00582358"/>
    <w:rsid w:val="0058271D"/>
    <w:rsid w:val="00582809"/>
    <w:rsid w:val="00582AD8"/>
    <w:rsid w:val="00582C80"/>
    <w:rsid w:val="00583018"/>
    <w:rsid w:val="00583136"/>
    <w:rsid w:val="00583395"/>
    <w:rsid w:val="0058375D"/>
    <w:rsid w:val="0058385B"/>
    <w:rsid w:val="005838B6"/>
    <w:rsid w:val="00583913"/>
    <w:rsid w:val="00584005"/>
    <w:rsid w:val="00584A7F"/>
    <w:rsid w:val="00584CF9"/>
    <w:rsid w:val="00584D71"/>
    <w:rsid w:val="00584EF0"/>
    <w:rsid w:val="00585602"/>
    <w:rsid w:val="005856A9"/>
    <w:rsid w:val="005859D6"/>
    <w:rsid w:val="00585F67"/>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C78"/>
    <w:rsid w:val="00592D32"/>
    <w:rsid w:val="005933E1"/>
    <w:rsid w:val="005935A4"/>
    <w:rsid w:val="00593693"/>
    <w:rsid w:val="00593D81"/>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B3"/>
    <w:rsid w:val="005A0F5B"/>
    <w:rsid w:val="005A115A"/>
    <w:rsid w:val="005A1315"/>
    <w:rsid w:val="005A16CC"/>
    <w:rsid w:val="005A1AF5"/>
    <w:rsid w:val="005A1BE5"/>
    <w:rsid w:val="005A1E85"/>
    <w:rsid w:val="005A1FDF"/>
    <w:rsid w:val="005A207E"/>
    <w:rsid w:val="005A209A"/>
    <w:rsid w:val="005A2892"/>
    <w:rsid w:val="005A29BA"/>
    <w:rsid w:val="005A2AC9"/>
    <w:rsid w:val="005A2CDD"/>
    <w:rsid w:val="005A2F84"/>
    <w:rsid w:val="005A3080"/>
    <w:rsid w:val="005A3125"/>
    <w:rsid w:val="005A3271"/>
    <w:rsid w:val="005A3C7C"/>
    <w:rsid w:val="005A3FAB"/>
    <w:rsid w:val="005A44B3"/>
    <w:rsid w:val="005A48AC"/>
    <w:rsid w:val="005A4915"/>
    <w:rsid w:val="005A4B30"/>
    <w:rsid w:val="005A4B5C"/>
    <w:rsid w:val="005A52EB"/>
    <w:rsid w:val="005A57A6"/>
    <w:rsid w:val="005A59BF"/>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462"/>
    <w:rsid w:val="005B54FD"/>
    <w:rsid w:val="005B585B"/>
    <w:rsid w:val="005B5880"/>
    <w:rsid w:val="005B63F8"/>
    <w:rsid w:val="005B649E"/>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FA1"/>
    <w:rsid w:val="005C4028"/>
    <w:rsid w:val="005C4873"/>
    <w:rsid w:val="005C4C6A"/>
    <w:rsid w:val="005C582E"/>
    <w:rsid w:val="005C5919"/>
    <w:rsid w:val="005C5958"/>
    <w:rsid w:val="005C5AD4"/>
    <w:rsid w:val="005C5F0A"/>
    <w:rsid w:val="005C5F86"/>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965"/>
    <w:rsid w:val="005D0DEA"/>
    <w:rsid w:val="005D1348"/>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928"/>
    <w:rsid w:val="005E0A77"/>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10"/>
    <w:rsid w:val="005F1095"/>
    <w:rsid w:val="005F1347"/>
    <w:rsid w:val="005F195C"/>
    <w:rsid w:val="005F1A08"/>
    <w:rsid w:val="005F1A5A"/>
    <w:rsid w:val="005F1E9D"/>
    <w:rsid w:val="005F1EFB"/>
    <w:rsid w:val="005F203F"/>
    <w:rsid w:val="005F29C2"/>
    <w:rsid w:val="005F2BF0"/>
    <w:rsid w:val="005F2CB1"/>
    <w:rsid w:val="005F3025"/>
    <w:rsid w:val="005F30FD"/>
    <w:rsid w:val="005F3264"/>
    <w:rsid w:val="005F32B2"/>
    <w:rsid w:val="005F33D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C1E"/>
    <w:rsid w:val="005F6DDE"/>
    <w:rsid w:val="005F6EFF"/>
    <w:rsid w:val="005F70A8"/>
    <w:rsid w:val="005F70BD"/>
    <w:rsid w:val="005F7812"/>
    <w:rsid w:val="005F7884"/>
    <w:rsid w:val="005F7DAB"/>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C4"/>
    <w:rsid w:val="00605D4E"/>
    <w:rsid w:val="00605E85"/>
    <w:rsid w:val="00606318"/>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5FEF"/>
    <w:rsid w:val="006165E6"/>
    <w:rsid w:val="006168A7"/>
    <w:rsid w:val="00616CFE"/>
    <w:rsid w:val="006175FA"/>
    <w:rsid w:val="00617C28"/>
    <w:rsid w:val="00617D36"/>
    <w:rsid w:val="00617F11"/>
    <w:rsid w:val="00620083"/>
    <w:rsid w:val="0062008D"/>
    <w:rsid w:val="006202EE"/>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9CE"/>
    <w:rsid w:val="006349FA"/>
    <w:rsid w:val="00634C91"/>
    <w:rsid w:val="00634DB3"/>
    <w:rsid w:val="00635047"/>
    <w:rsid w:val="0063509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F67"/>
    <w:rsid w:val="00640002"/>
    <w:rsid w:val="00640281"/>
    <w:rsid w:val="00640394"/>
    <w:rsid w:val="006407BA"/>
    <w:rsid w:val="00640DEC"/>
    <w:rsid w:val="00640E41"/>
    <w:rsid w:val="0064127C"/>
    <w:rsid w:val="0064142B"/>
    <w:rsid w:val="006414AB"/>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7C3"/>
    <w:rsid w:val="00644A4A"/>
    <w:rsid w:val="00644EC4"/>
    <w:rsid w:val="00645095"/>
    <w:rsid w:val="006453E3"/>
    <w:rsid w:val="006454D3"/>
    <w:rsid w:val="00645A51"/>
    <w:rsid w:val="00645D6A"/>
    <w:rsid w:val="00645F7C"/>
    <w:rsid w:val="00646002"/>
    <w:rsid w:val="0064606C"/>
    <w:rsid w:val="0064624E"/>
    <w:rsid w:val="006463A4"/>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56B"/>
    <w:rsid w:val="0065569E"/>
    <w:rsid w:val="00655733"/>
    <w:rsid w:val="00655AA8"/>
    <w:rsid w:val="00655ACD"/>
    <w:rsid w:val="00655C44"/>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A91"/>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BA7"/>
    <w:rsid w:val="00672BB6"/>
    <w:rsid w:val="00673B62"/>
    <w:rsid w:val="00673DCC"/>
    <w:rsid w:val="0067417E"/>
    <w:rsid w:val="006741F2"/>
    <w:rsid w:val="00674348"/>
    <w:rsid w:val="00674544"/>
    <w:rsid w:val="006746C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F6F"/>
    <w:rsid w:val="00676FFD"/>
    <w:rsid w:val="006770A4"/>
    <w:rsid w:val="006770EB"/>
    <w:rsid w:val="006771F9"/>
    <w:rsid w:val="006776D7"/>
    <w:rsid w:val="006779F8"/>
    <w:rsid w:val="00677ACE"/>
    <w:rsid w:val="006803E6"/>
    <w:rsid w:val="0068053F"/>
    <w:rsid w:val="006807BB"/>
    <w:rsid w:val="00680C24"/>
    <w:rsid w:val="00680E31"/>
    <w:rsid w:val="00680E8E"/>
    <w:rsid w:val="00680F77"/>
    <w:rsid w:val="00681003"/>
    <w:rsid w:val="00681570"/>
    <w:rsid w:val="006817C9"/>
    <w:rsid w:val="0068202C"/>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E59"/>
    <w:rsid w:val="00684F14"/>
    <w:rsid w:val="0068500F"/>
    <w:rsid w:val="006853B0"/>
    <w:rsid w:val="0068556D"/>
    <w:rsid w:val="006855C7"/>
    <w:rsid w:val="00685B8D"/>
    <w:rsid w:val="00685C31"/>
    <w:rsid w:val="00685F4C"/>
    <w:rsid w:val="0068617A"/>
    <w:rsid w:val="006861DE"/>
    <w:rsid w:val="006865DE"/>
    <w:rsid w:val="006866F3"/>
    <w:rsid w:val="00686D0E"/>
    <w:rsid w:val="0068709E"/>
    <w:rsid w:val="00687170"/>
    <w:rsid w:val="00687197"/>
    <w:rsid w:val="00687292"/>
    <w:rsid w:val="00687F2E"/>
    <w:rsid w:val="00687FD8"/>
    <w:rsid w:val="0069035D"/>
    <w:rsid w:val="00690371"/>
    <w:rsid w:val="006906A1"/>
    <w:rsid w:val="006907F6"/>
    <w:rsid w:val="006908D9"/>
    <w:rsid w:val="00690F57"/>
    <w:rsid w:val="006914E2"/>
    <w:rsid w:val="006916EA"/>
    <w:rsid w:val="006923B6"/>
    <w:rsid w:val="006924BE"/>
    <w:rsid w:val="00692A0C"/>
    <w:rsid w:val="00692AD2"/>
    <w:rsid w:val="00692AFC"/>
    <w:rsid w:val="00692DE5"/>
    <w:rsid w:val="00692EF0"/>
    <w:rsid w:val="0069312E"/>
    <w:rsid w:val="0069326D"/>
    <w:rsid w:val="0069341E"/>
    <w:rsid w:val="00693963"/>
    <w:rsid w:val="006940AF"/>
    <w:rsid w:val="00694400"/>
    <w:rsid w:val="006949A7"/>
    <w:rsid w:val="00694E86"/>
    <w:rsid w:val="0069504F"/>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7F5"/>
    <w:rsid w:val="006B496E"/>
    <w:rsid w:val="006B4F05"/>
    <w:rsid w:val="006B502B"/>
    <w:rsid w:val="006B50CF"/>
    <w:rsid w:val="006B543C"/>
    <w:rsid w:val="006B547B"/>
    <w:rsid w:val="006B5708"/>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AB"/>
    <w:rsid w:val="006C05E5"/>
    <w:rsid w:val="006C09FD"/>
    <w:rsid w:val="006C0E56"/>
    <w:rsid w:val="006C0EA9"/>
    <w:rsid w:val="006C10EA"/>
    <w:rsid w:val="006C15B6"/>
    <w:rsid w:val="006C15E9"/>
    <w:rsid w:val="006C17AE"/>
    <w:rsid w:val="006C1E72"/>
    <w:rsid w:val="006C2004"/>
    <w:rsid w:val="006C2173"/>
    <w:rsid w:val="006C28CC"/>
    <w:rsid w:val="006C2AB1"/>
    <w:rsid w:val="006C2B94"/>
    <w:rsid w:val="006C2FF6"/>
    <w:rsid w:val="006C3499"/>
    <w:rsid w:val="006C377C"/>
    <w:rsid w:val="006C3A46"/>
    <w:rsid w:val="006C3A59"/>
    <w:rsid w:val="006C3A72"/>
    <w:rsid w:val="006C3F7D"/>
    <w:rsid w:val="006C4783"/>
    <w:rsid w:val="006C48CF"/>
    <w:rsid w:val="006C48D6"/>
    <w:rsid w:val="006C4B4F"/>
    <w:rsid w:val="006C4D89"/>
    <w:rsid w:val="006C5529"/>
    <w:rsid w:val="006C552B"/>
    <w:rsid w:val="006C5E12"/>
    <w:rsid w:val="006C5EC9"/>
    <w:rsid w:val="006C5FA5"/>
    <w:rsid w:val="006C6059"/>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A1"/>
    <w:rsid w:val="006E6E91"/>
    <w:rsid w:val="006E742F"/>
    <w:rsid w:val="006E7951"/>
    <w:rsid w:val="006E7D3B"/>
    <w:rsid w:val="006E7E56"/>
    <w:rsid w:val="006E7E5B"/>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566"/>
    <w:rsid w:val="0070586E"/>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94C"/>
    <w:rsid w:val="00712265"/>
    <w:rsid w:val="00712287"/>
    <w:rsid w:val="007123D9"/>
    <w:rsid w:val="00712772"/>
    <w:rsid w:val="00712A1B"/>
    <w:rsid w:val="00712DA3"/>
    <w:rsid w:val="00712E17"/>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A4D"/>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12B6"/>
    <w:rsid w:val="007312C5"/>
    <w:rsid w:val="00731634"/>
    <w:rsid w:val="00731814"/>
    <w:rsid w:val="00731894"/>
    <w:rsid w:val="00731B0D"/>
    <w:rsid w:val="00731B66"/>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4AF"/>
    <w:rsid w:val="007445A0"/>
    <w:rsid w:val="00744859"/>
    <w:rsid w:val="00744CB8"/>
    <w:rsid w:val="00744F75"/>
    <w:rsid w:val="00744FA9"/>
    <w:rsid w:val="0074524B"/>
    <w:rsid w:val="00745379"/>
    <w:rsid w:val="007457F9"/>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BB"/>
    <w:rsid w:val="0078304C"/>
    <w:rsid w:val="007830E8"/>
    <w:rsid w:val="00783673"/>
    <w:rsid w:val="00783C8A"/>
    <w:rsid w:val="0078408C"/>
    <w:rsid w:val="0078411E"/>
    <w:rsid w:val="007847AA"/>
    <w:rsid w:val="00784BB0"/>
    <w:rsid w:val="00784C96"/>
    <w:rsid w:val="00785290"/>
    <w:rsid w:val="00785385"/>
    <w:rsid w:val="00785490"/>
    <w:rsid w:val="00785CCE"/>
    <w:rsid w:val="007867C4"/>
    <w:rsid w:val="007870FB"/>
    <w:rsid w:val="00787603"/>
    <w:rsid w:val="007876F0"/>
    <w:rsid w:val="00787CC2"/>
    <w:rsid w:val="007904B6"/>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3F0"/>
    <w:rsid w:val="007974D3"/>
    <w:rsid w:val="0079755E"/>
    <w:rsid w:val="007976D5"/>
    <w:rsid w:val="00797714"/>
    <w:rsid w:val="0079793F"/>
    <w:rsid w:val="00797A1E"/>
    <w:rsid w:val="00797A98"/>
    <w:rsid w:val="007A0130"/>
    <w:rsid w:val="007A035F"/>
    <w:rsid w:val="007A0DFC"/>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420D"/>
    <w:rsid w:val="007A431D"/>
    <w:rsid w:val="007A43A6"/>
    <w:rsid w:val="007A44B6"/>
    <w:rsid w:val="007A4DBD"/>
    <w:rsid w:val="007A54CD"/>
    <w:rsid w:val="007A5677"/>
    <w:rsid w:val="007A5771"/>
    <w:rsid w:val="007A58A2"/>
    <w:rsid w:val="007A58A6"/>
    <w:rsid w:val="007A59E8"/>
    <w:rsid w:val="007A5B7E"/>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B1B"/>
    <w:rsid w:val="007B2210"/>
    <w:rsid w:val="007B2311"/>
    <w:rsid w:val="007B265C"/>
    <w:rsid w:val="007B2D7E"/>
    <w:rsid w:val="007B2F99"/>
    <w:rsid w:val="007B3112"/>
    <w:rsid w:val="007B3232"/>
    <w:rsid w:val="007B344F"/>
    <w:rsid w:val="007B3621"/>
    <w:rsid w:val="007B3A45"/>
    <w:rsid w:val="007B3D2D"/>
    <w:rsid w:val="007B3DE6"/>
    <w:rsid w:val="007B3EF3"/>
    <w:rsid w:val="007B4421"/>
    <w:rsid w:val="007B4EF7"/>
    <w:rsid w:val="007B50AE"/>
    <w:rsid w:val="007B51DF"/>
    <w:rsid w:val="007B5407"/>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2301"/>
    <w:rsid w:val="007C23D0"/>
    <w:rsid w:val="007C25FF"/>
    <w:rsid w:val="007C2A64"/>
    <w:rsid w:val="007C2B5C"/>
    <w:rsid w:val="007C31D2"/>
    <w:rsid w:val="007C37B6"/>
    <w:rsid w:val="007C386B"/>
    <w:rsid w:val="007C3D18"/>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638"/>
    <w:rsid w:val="007D7864"/>
    <w:rsid w:val="007D79BC"/>
    <w:rsid w:val="007D7CF1"/>
    <w:rsid w:val="007D7D0E"/>
    <w:rsid w:val="007D7DCF"/>
    <w:rsid w:val="007D7E9A"/>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31B"/>
    <w:rsid w:val="007E38DD"/>
    <w:rsid w:val="007E397F"/>
    <w:rsid w:val="007E39DF"/>
    <w:rsid w:val="007E3EFD"/>
    <w:rsid w:val="007E434A"/>
    <w:rsid w:val="007E4610"/>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2C8"/>
    <w:rsid w:val="00814338"/>
    <w:rsid w:val="008143C9"/>
    <w:rsid w:val="00814A50"/>
    <w:rsid w:val="0081547D"/>
    <w:rsid w:val="00815868"/>
    <w:rsid w:val="008158D6"/>
    <w:rsid w:val="00815E3C"/>
    <w:rsid w:val="00816027"/>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64B"/>
    <w:rsid w:val="00827964"/>
    <w:rsid w:val="00827D6F"/>
    <w:rsid w:val="00827E61"/>
    <w:rsid w:val="00830619"/>
    <w:rsid w:val="00830C2C"/>
    <w:rsid w:val="00830E56"/>
    <w:rsid w:val="00831474"/>
    <w:rsid w:val="00831D90"/>
    <w:rsid w:val="00831DD5"/>
    <w:rsid w:val="00831DE4"/>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400EF"/>
    <w:rsid w:val="008401ED"/>
    <w:rsid w:val="00840740"/>
    <w:rsid w:val="00840DE3"/>
    <w:rsid w:val="00841A28"/>
    <w:rsid w:val="00841BE1"/>
    <w:rsid w:val="008422D1"/>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835"/>
    <w:rsid w:val="00852882"/>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B42"/>
    <w:rsid w:val="00855C16"/>
    <w:rsid w:val="00855C91"/>
    <w:rsid w:val="00855DEB"/>
    <w:rsid w:val="00856498"/>
    <w:rsid w:val="00856911"/>
    <w:rsid w:val="00856B83"/>
    <w:rsid w:val="00856F19"/>
    <w:rsid w:val="008571BC"/>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9A4"/>
    <w:rsid w:val="00876A9D"/>
    <w:rsid w:val="00876B4D"/>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49D"/>
    <w:rsid w:val="00886733"/>
    <w:rsid w:val="00886BF2"/>
    <w:rsid w:val="00886CC9"/>
    <w:rsid w:val="00886E20"/>
    <w:rsid w:val="008873B0"/>
    <w:rsid w:val="008878AE"/>
    <w:rsid w:val="00887EC5"/>
    <w:rsid w:val="0089027E"/>
    <w:rsid w:val="0089036A"/>
    <w:rsid w:val="00890B46"/>
    <w:rsid w:val="00890C01"/>
    <w:rsid w:val="00890CF2"/>
    <w:rsid w:val="008910A9"/>
    <w:rsid w:val="0089129D"/>
    <w:rsid w:val="008915CD"/>
    <w:rsid w:val="0089195B"/>
    <w:rsid w:val="00891E3D"/>
    <w:rsid w:val="00892060"/>
    <w:rsid w:val="00892071"/>
    <w:rsid w:val="00892152"/>
    <w:rsid w:val="00892803"/>
    <w:rsid w:val="00892A44"/>
    <w:rsid w:val="00892C7A"/>
    <w:rsid w:val="00892C87"/>
    <w:rsid w:val="00892FE8"/>
    <w:rsid w:val="00893279"/>
    <w:rsid w:val="00893362"/>
    <w:rsid w:val="008934BF"/>
    <w:rsid w:val="0089358A"/>
    <w:rsid w:val="0089368E"/>
    <w:rsid w:val="0089386B"/>
    <w:rsid w:val="00893EDC"/>
    <w:rsid w:val="00893F15"/>
    <w:rsid w:val="00893FB1"/>
    <w:rsid w:val="008941E3"/>
    <w:rsid w:val="008942CC"/>
    <w:rsid w:val="00894753"/>
    <w:rsid w:val="00894939"/>
    <w:rsid w:val="00894A88"/>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207E"/>
    <w:rsid w:val="008B2229"/>
    <w:rsid w:val="008B24D2"/>
    <w:rsid w:val="008B25F7"/>
    <w:rsid w:val="008B2634"/>
    <w:rsid w:val="008B27D9"/>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8A0"/>
    <w:rsid w:val="008C0A9B"/>
    <w:rsid w:val="008C0A9E"/>
    <w:rsid w:val="008C0C87"/>
    <w:rsid w:val="008C0C99"/>
    <w:rsid w:val="008C0DB7"/>
    <w:rsid w:val="008C0E41"/>
    <w:rsid w:val="008C1218"/>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2DE"/>
    <w:rsid w:val="008C4958"/>
    <w:rsid w:val="008C4A2D"/>
    <w:rsid w:val="008C4BAA"/>
    <w:rsid w:val="008C4D9D"/>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801"/>
    <w:rsid w:val="008D4950"/>
    <w:rsid w:val="008D4C34"/>
    <w:rsid w:val="008D4C67"/>
    <w:rsid w:val="008D51F5"/>
    <w:rsid w:val="008D5573"/>
    <w:rsid w:val="008D5744"/>
    <w:rsid w:val="008D574D"/>
    <w:rsid w:val="008D59FD"/>
    <w:rsid w:val="008D5EBC"/>
    <w:rsid w:val="008D5EF1"/>
    <w:rsid w:val="008D662C"/>
    <w:rsid w:val="008D6726"/>
    <w:rsid w:val="008D6D1A"/>
    <w:rsid w:val="008D6ED4"/>
    <w:rsid w:val="008D7658"/>
    <w:rsid w:val="008D79FC"/>
    <w:rsid w:val="008D7BAA"/>
    <w:rsid w:val="008E0042"/>
    <w:rsid w:val="008E065E"/>
    <w:rsid w:val="008E07F1"/>
    <w:rsid w:val="008E0927"/>
    <w:rsid w:val="008E0969"/>
    <w:rsid w:val="008E0CF0"/>
    <w:rsid w:val="008E0DAC"/>
    <w:rsid w:val="008E0F6B"/>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412"/>
    <w:rsid w:val="008F063F"/>
    <w:rsid w:val="008F0685"/>
    <w:rsid w:val="008F0CA8"/>
    <w:rsid w:val="008F0FF4"/>
    <w:rsid w:val="008F15AE"/>
    <w:rsid w:val="008F1C4E"/>
    <w:rsid w:val="008F1EAB"/>
    <w:rsid w:val="008F22A6"/>
    <w:rsid w:val="008F239B"/>
    <w:rsid w:val="008F23AA"/>
    <w:rsid w:val="008F2CF4"/>
    <w:rsid w:val="008F2D5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A1"/>
    <w:rsid w:val="008F6F54"/>
    <w:rsid w:val="008F6FF9"/>
    <w:rsid w:val="008F7700"/>
    <w:rsid w:val="008F7986"/>
    <w:rsid w:val="008F7E86"/>
    <w:rsid w:val="0090011B"/>
    <w:rsid w:val="00900175"/>
    <w:rsid w:val="00900335"/>
    <w:rsid w:val="009004FB"/>
    <w:rsid w:val="0090073A"/>
    <w:rsid w:val="009007D1"/>
    <w:rsid w:val="009009EA"/>
    <w:rsid w:val="00900E4B"/>
    <w:rsid w:val="00900F81"/>
    <w:rsid w:val="009011BF"/>
    <w:rsid w:val="0090143D"/>
    <w:rsid w:val="00901A67"/>
    <w:rsid w:val="00901C01"/>
    <w:rsid w:val="0090223E"/>
    <w:rsid w:val="00902350"/>
    <w:rsid w:val="009025D9"/>
    <w:rsid w:val="0090268D"/>
    <w:rsid w:val="00902799"/>
    <w:rsid w:val="00902983"/>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1A5"/>
    <w:rsid w:val="009161DA"/>
    <w:rsid w:val="00916814"/>
    <w:rsid w:val="0091688B"/>
    <w:rsid w:val="00916986"/>
    <w:rsid w:val="00916B70"/>
    <w:rsid w:val="00917083"/>
    <w:rsid w:val="00917371"/>
    <w:rsid w:val="009175AD"/>
    <w:rsid w:val="00917A4E"/>
    <w:rsid w:val="00917C12"/>
    <w:rsid w:val="00917CE9"/>
    <w:rsid w:val="00917F25"/>
    <w:rsid w:val="00920107"/>
    <w:rsid w:val="0092075B"/>
    <w:rsid w:val="00920BEF"/>
    <w:rsid w:val="00920BF2"/>
    <w:rsid w:val="00920E26"/>
    <w:rsid w:val="00921087"/>
    <w:rsid w:val="00921156"/>
    <w:rsid w:val="009212FA"/>
    <w:rsid w:val="00921975"/>
    <w:rsid w:val="00921D41"/>
    <w:rsid w:val="00921E58"/>
    <w:rsid w:val="00922006"/>
    <w:rsid w:val="00922010"/>
    <w:rsid w:val="00922A54"/>
    <w:rsid w:val="00923294"/>
    <w:rsid w:val="0092370D"/>
    <w:rsid w:val="009237DC"/>
    <w:rsid w:val="00923BF4"/>
    <w:rsid w:val="00923C3D"/>
    <w:rsid w:val="00923FD8"/>
    <w:rsid w:val="00924173"/>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A91"/>
    <w:rsid w:val="00926CD5"/>
    <w:rsid w:val="009270B9"/>
    <w:rsid w:val="009276D5"/>
    <w:rsid w:val="00927D18"/>
    <w:rsid w:val="00927F18"/>
    <w:rsid w:val="009305E6"/>
    <w:rsid w:val="0093060C"/>
    <w:rsid w:val="00930BA6"/>
    <w:rsid w:val="00930E40"/>
    <w:rsid w:val="00931217"/>
    <w:rsid w:val="00931372"/>
    <w:rsid w:val="00931897"/>
    <w:rsid w:val="00931BD9"/>
    <w:rsid w:val="00931C30"/>
    <w:rsid w:val="00931F45"/>
    <w:rsid w:val="00932A14"/>
    <w:rsid w:val="00932E2B"/>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5035"/>
    <w:rsid w:val="009450BE"/>
    <w:rsid w:val="009453ED"/>
    <w:rsid w:val="00945C05"/>
    <w:rsid w:val="00945CE7"/>
    <w:rsid w:val="009460D7"/>
    <w:rsid w:val="00946337"/>
    <w:rsid w:val="009464EA"/>
    <w:rsid w:val="009464FD"/>
    <w:rsid w:val="009467B3"/>
    <w:rsid w:val="00946945"/>
    <w:rsid w:val="00946AE2"/>
    <w:rsid w:val="00946E79"/>
    <w:rsid w:val="00946EEE"/>
    <w:rsid w:val="00946F05"/>
    <w:rsid w:val="00946FE9"/>
    <w:rsid w:val="00947713"/>
    <w:rsid w:val="00947E25"/>
    <w:rsid w:val="00947F97"/>
    <w:rsid w:val="0095013B"/>
    <w:rsid w:val="009504C1"/>
    <w:rsid w:val="00950AB8"/>
    <w:rsid w:val="00950DE7"/>
    <w:rsid w:val="00950FAE"/>
    <w:rsid w:val="00951530"/>
    <w:rsid w:val="00951841"/>
    <w:rsid w:val="009518B5"/>
    <w:rsid w:val="009519A9"/>
    <w:rsid w:val="00951CF5"/>
    <w:rsid w:val="009527D4"/>
    <w:rsid w:val="00952899"/>
    <w:rsid w:val="009528F6"/>
    <w:rsid w:val="00952EBC"/>
    <w:rsid w:val="00953042"/>
    <w:rsid w:val="00953390"/>
    <w:rsid w:val="00953920"/>
    <w:rsid w:val="0095394F"/>
    <w:rsid w:val="009539A6"/>
    <w:rsid w:val="009539DC"/>
    <w:rsid w:val="00953CD4"/>
    <w:rsid w:val="00953D47"/>
    <w:rsid w:val="00953EC7"/>
    <w:rsid w:val="009540FE"/>
    <w:rsid w:val="0095412B"/>
    <w:rsid w:val="009541B2"/>
    <w:rsid w:val="00954253"/>
    <w:rsid w:val="00954882"/>
    <w:rsid w:val="00954D10"/>
    <w:rsid w:val="009552FD"/>
    <w:rsid w:val="00955AC7"/>
    <w:rsid w:val="00955AE3"/>
    <w:rsid w:val="00955F41"/>
    <w:rsid w:val="00956050"/>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E14"/>
    <w:rsid w:val="00963E50"/>
    <w:rsid w:val="0096430A"/>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AE6"/>
    <w:rsid w:val="00977C84"/>
    <w:rsid w:val="00980312"/>
    <w:rsid w:val="00980477"/>
    <w:rsid w:val="0098078C"/>
    <w:rsid w:val="00980834"/>
    <w:rsid w:val="00980BC6"/>
    <w:rsid w:val="00980F0F"/>
    <w:rsid w:val="00981178"/>
    <w:rsid w:val="0098157C"/>
    <w:rsid w:val="009816D7"/>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E1F"/>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735C"/>
    <w:rsid w:val="009875EE"/>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C93"/>
    <w:rsid w:val="00991FE6"/>
    <w:rsid w:val="009921E7"/>
    <w:rsid w:val="009922A3"/>
    <w:rsid w:val="00992553"/>
    <w:rsid w:val="009931A1"/>
    <w:rsid w:val="009933F5"/>
    <w:rsid w:val="00993B93"/>
    <w:rsid w:val="009941FE"/>
    <w:rsid w:val="00994638"/>
    <w:rsid w:val="009949F7"/>
    <w:rsid w:val="00994DCA"/>
    <w:rsid w:val="00994F39"/>
    <w:rsid w:val="00995018"/>
    <w:rsid w:val="009952C7"/>
    <w:rsid w:val="009952EC"/>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758B"/>
    <w:rsid w:val="009B030F"/>
    <w:rsid w:val="009B04FA"/>
    <w:rsid w:val="009B0597"/>
    <w:rsid w:val="009B08A9"/>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4B"/>
    <w:rsid w:val="009C061A"/>
    <w:rsid w:val="009C06ED"/>
    <w:rsid w:val="009C1113"/>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C09"/>
    <w:rsid w:val="009C7C1B"/>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920"/>
    <w:rsid w:val="009E5BBE"/>
    <w:rsid w:val="009E5BFB"/>
    <w:rsid w:val="009E5FD4"/>
    <w:rsid w:val="009E6094"/>
    <w:rsid w:val="009E6560"/>
    <w:rsid w:val="009E6AFA"/>
    <w:rsid w:val="009E6D8D"/>
    <w:rsid w:val="009E70A6"/>
    <w:rsid w:val="009E72D0"/>
    <w:rsid w:val="009E730E"/>
    <w:rsid w:val="009E757E"/>
    <w:rsid w:val="009E7757"/>
    <w:rsid w:val="009E790E"/>
    <w:rsid w:val="009E792B"/>
    <w:rsid w:val="009E7AE8"/>
    <w:rsid w:val="009E7C2E"/>
    <w:rsid w:val="009E7F10"/>
    <w:rsid w:val="009F08F3"/>
    <w:rsid w:val="009F09B9"/>
    <w:rsid w:val="009F09BF"/>
    <w:rsid w:val="009F1624"/>
    <w:rsid w:val="009F1764"/>
    <w:rsid w:val="009F1778"/>
    <w:rsid w:val="009F1AB0"/>
    <w:rsid w:val="009F203E"/>
    <w:rsid w:val="009F20FD"/>
    <w:rsid w:val="009F2608"/>
    <w:rsid w:val="009F27BC"/>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64EF"/>
    <w:rsid w:val="00A065A7"/>
    <w:rsid w:val="00A065DF"/>
    <w:rsid w:val="00A069EC"/>
    <w:rsid w:val="00A069FB"/>
    <w:rsid w:val="00A06A83"/>
    <w:rsid w:val="00A07011"/>
    <w:rsid w:val="00A07FBD"/>
    <w:rsid w:val="00A10054"/>
    <w:rsid w:val="00A10E85"/>
    <w:rsid w:val="00A11303"/>
    <w:rsid w:val="00A11477"/>
    <w:rsid w:val="00A1188B"/>
    <w:rsid w:val="00A118A8"/>
    <w:rsid w:val="00A11EC1"/>
    <w:rsid w:val="00A11EEC"/>
    <w:rsid w:val="00A11F1C"/>
    <w:rsid w:val="00A1229A"/>
    <w:rsid w:val="00A124A2"/>
    <w:rsid w:val="00A12FC6"/>
    <w:rsid w:val="00A131D5"/>
    <w:rsid w:val="00A135E7"/>
    <w:rsid w:val="00A13704"/>
    <w:rsid w:val="00A13799"/>
    <w:rsid w:val="00A138C1"/>
    <w:rsid w:val="00A13994"/>
    <w:rsid w:val="00A13C57"/>
    <w:rsid w:val="00A13DD3"/>
    <w:rsid w:val="00A13E54"/>
    <w:rsid w:val="00A1413A"/>
    <w:rsid w:val="00A1438F"/>
    <w:rsid w:val="00A1463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BC"/>
    <w:rsid w:val="00A2351A"/>
    <w:rsid w:val="00A23F98"/>
    <w:rsid w:val="00A242D7"/>
    <w:rsid w:val="00A243A4"/>
    <w:rsid w:val="00A248BF"/>
    <w:rsid w:val="00A248F8"/>
    <w:rsid w:val="00A24E87"/>
    <w:rsid w:val="00A24F8B"/>
    <w:rsid w:val="00A2508E"/>
    <w:rsid w:val="00A254FC"/>
    <w:rsid w:val="00A25C40"/>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73A"/>
    <w:rsid w:val="00A359BE"/>
    <w:rsid w:val="00A36297"/>
    <w:rsid w:val="00A36413"/>
    <w:rsid w:val="00A36550"/>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667"/>
    <w:rsid w:val="00A41A69"/>
    <w:rsid w:val="00A41DF7"/>
    <w:rsid w:val="00A41E2B"/>
    <w:rsid w:val="00A41ED2"/>
    <w:rsid w:val="00A424F8"/>
    <w:rsid w:val="00A4259E"/>
    <w:rsid w:val="00A4278D"/>
    <w:rsid w:val="00A42A37"/>
    <w:rsid w:val="00A42B26"/>
    <w:rsid w:val="00A42DB5"/>
    <w:rsid w:val="00A42FA7"/>
    <w:rsid w:val="00A42FB0"/>
    <w:rsid w:val="00A42FF5"/>
    <w:rsid w:val="00A4350F"/>
    <w:rsid w:val="00A43656"/>
    <w:rsid w:val="00A43932"/>
    <w:rsid w:val="00A43B30"/>
    <w:rsid w:val="00A44264"/>
    <w:rsid w:val="00A4438B"/>
    <w:rsid w:val="00A444E7"/>
    <w:rsid w:val="00A44C20"/>
    <w:rsid w:val="00A45184"/>
    <w:rsid w:val="00A453F3"/>
    <w:rsid w:val="00A4545F"/>
    <w:rsid w:val="00A456B9"/>
    <w:rsid w:val="00A45B74"/>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CB"/>
    <w:rsid w:val="00A57478"/>
    <w:rsid w:val="00A5785E"/>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F6"/>
    <w:rsid w:val="00A86CE1"/>
    <w:rsid w:val="00A86DB1"/>
    <w:rsid w:val="00A8758F"/>
    <w:rsid w:val="00A87626"/>
    <w:rsid w:val="00A87E1A"/>
    <w:rsid w:val="00A909BF"/>
    <w:rsid w:val="00A90C30"/>
    <w:rsid w:val="00A9129E"/>
    <w:rsid w:val="00A91893"/>
    <w:rsid w:val="00A918AE"/>
    <w:rsid w:val="00A91AE9"/>
    <w:rsid w:val="00A91B7F"/>
    <w:rsid w:val="00A920EF"/>
    <w:rsid w:val="00A92879"/>
    <w:rsid w:val="00A92D50"/>
    <w:rsid w:val="00A931A2"/>
    <w:rsid w:val="00A93CD6"/>
    <w:rsid w:val="00A943F4"/>
    <w:rsid w:val="00A9442A"/>
    <w:rsid w:val="00A94BAC"/>
    <w:rsid w:val="00A94E2B"/>
    <w:rsid w:val="00A950D2"/>
    <w:rsid w:val="00A9517E"/>
    <w:rsid w:val="00A9565F"/>
    <w:rsid w:val="00A95B85"/>
    <w:rsid w:val="00A95CFF"/>
    <w:rsid w:val="00A9632B"/>
    <w:rsid w:val="00A9688F"/>
    <w:rsid w:val="00A96BFD"/>
    <w:rsid w:val="00A970DE"/>
    <w:rsid w:val="00A9719A"/>
    <w:rsid w:val="00A97532"/>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D5F"/>
    <w:rsid w:val="00AB2FFB"/>
    <w:rsid w:val="00AB3337"/>
    <w:rsid w:val="00AB3657"/>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961"/>
    <w:rsid w:val="00AC3A69"/>
    <w:rsid w:val="00AC3C3C"/>
    <w:rsid w:val="00AC3EF3"/>
    <w:rsid w:val="00AC40C9"/>
    <w:rsid w:val="00AC4789"/>
    <w:rsid w:val="00AC481D"/>
    <w:rsid w:val="00AC49FB"/>
    <w:rsid w:val="00AC4D07"/>
    <w:rsid w:val="00AC54A6"/>
    <w:rsid w:val="00AC5566"/>
    <w:rsid w:val="00AC56E8"/>
    <w:rsid w:val="00AC5A10"/>
    <w:rsid w:val="00AC5BEA"/>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DFD"/>
    <w:rsid w:val="00B06FE6"/>
    <w:rsid w:val="00B07000"/>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E1"/>
    <w:rsid w:val="00B12C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4D3"/>
    <w:rsid w:val="00B34784"/>
    <w:rsid w:val="00B3502F"/>
    <w:rsid w:val="00B350F6"/>
    <w:rsid w:val="00B353FC"/>
    <w:rsid w:val="00B35427"/>
    <w:rsid w:val="00B35FB3"/>
    <w:rsid w:val="00B35FD0"/>
    <w:rsid w:val="00B36291"/>
    <w:rsid w:val="00B36401"/>
    <w:rsid w:val="00B366FF"/>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F"/>
    <w:rsid w:val="00B443EC"/>
    <w:rsid w:val="00B44655"/>
    <w:rsid w:val="00B446AE"/>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5B0"/>
    <w:rsid w:val="00B63A7C"/>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325F"/>
    <w:rsid w:val="00B7339A"/>
    <w:rsid w:val="00B739F6"/>
    <w:rsid w:val="00B73A81"/>
    <w:rsid w:val="00B73ACB"/>
    <w:rsid w:val="00B73F22"/>
    <w:rsid w:val="00B7413D"/>
    <w:rsid w:val="00B747F0"/>
    <w:rsid w:val="00B74A13"/>
    <w:rsid w:val="00B74AEA"/>
    <w:rsid w:val="00B74D4D"/>
    <w:rsid w:val="00B75636"/>
    <w:rsid w:val="00B75B53"/>
    <w:rsid w:val="00B75C7B"/>
    <w:rsid w:val="00B75ED9"/>
    <w:rsid w:val="00B75FEE"/>
    <w:rsid w:val="00B76015"/>
    <w:rsid w:val="00B760AE"/>
    <w:rsid w:val="00B7622D"/>
    <w:rsid w:val="00B7627E"/>
    <w:rsid w:val="00B7639F"/>
    <w:rsid w:val="00B765FB"/>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EC0"/>
    <w:rsid w:val="00B96F05"/>
    <w:rsid w:val="00B97187"/>
    <w:rsid w:val="00B972B7"/>
    <w:rsid w:val="00B97717"/>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AF3"/>
    <w:rsid w:val="00BA3E77"/>
    <w:rsid w:val="00BA41F7"/>
    <w:rsid w:val="00BA44C7"/>
    <w:rsid w:val="00BA44E0"/>
    <w:rsid w:val="00BA46C7"/>
    <w:rsid w:val="00BA5166"/>
    <w:rsid w:val="00BA53E0"/>
    <w:rsid w:val="00BA56A6"/>
    <w:rsid w:val="00BA56D2"/>
    <w:rsid w:val="00BA59BE"/>
    <w:rsid w:val="00BA5A2E"/>
    <w:rsid w:val="00BA5C91"/>
    <w:rsid w:val="00BA5F8B"/>
    <w:rsid w:val="00BA6231"/>
    <w:rsid w:val="00BA6447"/>
    <w:rsid w:val="00BA6597"/>
    <w:rsid w:val="00BA661A"/>
    <w:rsid w:val="00BA66AA"/>
    <w:rsid w:val="00BA6746"/>
    <w:rsid w:val="00BA67FA"/>
    <w:rsid w:val="00BA7451"/>
    <w:rsid w:val="00BA76B7"/>
    <w:rsid w:val="00BA76E0"/>
    <w:rsid w:val="00BA7862"/>
    <w:rsid w:val="00BA79BA"/>
    <w:rsid w:val="00BA7E25"/>
    <w:rsid w:val="00BA7EE1"/>
    <w:rsid w:val="00BB008A"/>
    <w:rsid w:val="00BB0856"/>
    <w:rsid w:val="00BB09AA"/>
    <w:rsid w:val="00BB0E7A"/>
    <w:rsid w:val="00BB0EA2"/>
    <w:rsid w:val="00BB13D2"/>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AB4"/>
    <w:rsid w:val="00BD0E0B"/>
    <w:rsid w:val="00BD117D"/>
    <w:rsid w:val="00BD1424"/>
    <w:rsid w:val="00BD1635"/>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D"/>
    <w:rsid w:val="00BD43B5"/>
    <w:rsid w:val="00BD440D"/>
    <w:rsid w:val="00BD45BB"/>
    <w:rsid w:val="00BD4670"/>
    <w:rsid w:val="00BD48AC"/>
    <w:rsid w:val="00BD4FB8"/>
    <w:rsid w:val="00BD55BC"/>
    <w:rsid w:val="00BD588D"/>
    <w:rsid w:val="00BD59FE"/>
    <w:rsid w:val="00BD5F1A"/>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232E"/>
    <w:rsid w:val="00BE24DD"/>
    <w:rsid w:val="00BE2561"/>
    <w:rsid w:val="00BE2BBC"/>
    <w:rsid w:val="00BE2BC4"/>
    <w:rsid w:val="00BE2D6F"/>
    <w:rsid w:val="00BE2E10"/>
    <w:rsid w:val="00BE2F3D"/>
    <w:rsid w:val="00BE2FA6"/>
    <w:rsid w:val="00BE333F"/>
    <w:rsid w:val="00BE347F"/>
    <w:rsid w:val="00BE38D6"/>
    <w:rsid w:val="00BE390E"/>
    <w:rsid w:val="00BE3A5A"/>
    <w:rsid w:val="00BE3EAD"/>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FCC"/>
    <w:rsid w:val="00BF60D5"/>
    <w:rsid w:val="00BF656C"/>
    <w:rsid w:val="00BF6618"/>
    <w:rsid w:val="00BF68ED"/>
    <w:rsid w:val="00BF6940"/>
    <w:rsid w:val="00BF70A0"/>
    <w:rsid w:val="00BF7127"/>
    <w:rsid w:val="00BF7445"/>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93"/>
    <w:rsid w:val="00C154BB"/>
    <w:rsid w:val="00C1579A"/>
    <w:rsid w:val="00C15827"/>
    <w:rsid w:val="00C159A9"/>
    <w:rsid w:val="00C15BF1"/>
    <w:rsid w:val="00C15EFB"/>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841"/>
    <w:rsid w:val="00C219DF"/>
    <w:rsid w:val="00C21A12"/>
    <w:rsid w:val="00C22443"/>
    <w:rsid w:val="00C2248E"/>
    <w:rsid w:val="00C22654"/>
    <w:rsid w:val="00C23080"/>
    <w:rsid w:val="00C2352F"/>
    <w:rsid w:val="00C23642"/>
    <w:rsid w:val="00C237A9"/>
    <w:rsid w:val="00C238E7"/>
    <w:rsid w:val="00C239E1"/>
    <w:rsid w:val="00C24C1F"/>
    <w:rsid w:val="00C24C42"/>
    <w:rsid w:val="00C253FD"/>
    <w:rsid w:val="00C25634"/>
    <w:rsid w:val="00C25A97"/>
    <w:rsid w:val="00C25D59"/>
    <w:rsid w:val="00C2606D"/>
    <w:rsid w:val="00C262AA"/>
    <w:rsid w:val="00C26311"/>
    <w:rsid w:val="00C2642D"/>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966"/>
    <w:rsid w:val="00C479B6"/>
    <w:rsid w:val="00C47A12"/>
    <w:rsid w:val="00C47A4F"/>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2FC6"/>
    <w:rsid w:val="00C53028"/>
    <w:rsid w:val="00C5318E"/>
    <w:rsid w:val="00C53486"/>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343"/>
    <w:rsid w:val="00C61599"/>
    <w:rsid w:val="00C6184E"/>
    <w:rsid w:val="00C61A5D"/>
    <w:rsid w:val="00C61A70"/>
    <w:rsid w:val="00C61CF2"/>
    <w:rsid w:val="00C61D9C"/>
    <w:rsid w:val="00C61DEA"/>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F5D"/>
    <w:rsid w:val="00C742C6"/>
    <w:rsid w:val="00C74338"/>
    <w:rsid w:val="00C744FE"/>
    <w:rsid w:val="00C74BC3"/>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807"/>
    <w:rsid w:val="00C80DB2"/>
    <w:rsid w:val="00C81086"/>
    <w:rsid w:val="00C81439"/>
    <w:rsid w:val="00C814F1"/>
    <w:rsid w:val="00C81568"/>
    <w:rsid w:val="00C816FF"/>
    <w:rsid w:val="00C81758"/>
    <w:rsid w:val="00C817B7"/>
    <w:rsid w:val="00C817C1"/>
    <w:rsid w:val="00C8195B"/>
    <w:rsid w:val="00C81EF7"/>
    <w:rsid w:val="00C822E5"/>
    <w:rsid w:val="00C8234B"/>
    <w:rsid w:val="00C823FD"/>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C60"/>
    <w:rsid w:val="00CB0FE7"/>
    <w:rsid w:val="00CB1055"/>
    <w:rsid w:val="00CB1279"/>
    <w:rsid w:val="00CB1DD3"/>
    <w:rsid w:val="00CB1E64"/>
    <w:rsid w:val="00CB1F63"/>
    <w:rsid w:val="00CB2010"/>
    <w:rsid w:val="00CB2025"/>
    <w:rsid w:val="00CB276D"/>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93A"/>
    <w:rsid w:val="00CD1188"/>
    <w:rsid w:val="00CD12F3"/>
    <w:rsid w:val="00CD16A6"/>
    <w:rsid w:val="00CD1C06"/>
    <w:rsid w:val="00CD212B"/>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E40"/>
    <w:rsid w:val="00CD7074"/>
    <w:rsid w:val="00CD751E"/>
    <w:rsid w:val="00CD7626"/>
    <w:rsid w:val="00CD78AD"/>
    <w:rsid w:val="00CD7A3C"/>
    <w:rsid w:val="00CD7BB0"/>
    <w:rsid w:val="00CD7CB1"/>
    <w:rsid w:val="00CE0060"/>
    <w:rsid w:val="00CE0424"/>
    <w:rsid w:val="00CE06CE"/>
    <w:rsid w:val="00CE08DD"/>
    <w:rsid w:val="00CE0D30"/>
    <w:rsid w:val="00CE0F3B"/>
    <w:rsid w:val="00CE1359"/>
    <w:rsid w:val="00CE13B9"/>
    <w:rsid w:val="00CE13CD"/>
    <w:rsid w:val="00CE140B"/>
    <w:rsid w:val="00CE15E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5D1"/>
    <w:rsid w:val="00CE61B6"/>
    <w:rsid w:val="00CE66EA"/>
    <w:rsid w:val="00CE697A"/>
    <w:rsid w:val="00CE71E4"/>
    <w:rsid w:val="00CE7312"/>
    <w:rsid w:val="00CE73E3"/>
    <w:rsid w:val="00CE7561"/>
    <w:rsid w:val="00CE77D7"/>
    <w:rsid w:val="00CE792A"/>
    <w:rsid w:val="00CE7968"/>
    <w:rsid w:val="00CE7A17"/>
    <w:rsid w:val="00CE7A79"/>
    <w:rsid w:val="00CE7F74"/>
    <w:rsid w:val="00CF04C0"/>
    <w:rsid w:val="00CF08FA"/>
    <w:rsid w:val="00CF0A9E"/>
    <w:rsid w:val="00CF0B5B"/>
    <w:rsid w:val="00CF0E6E"/>
    <w:rsid w:val="00CF1354"/>
    <w:rsid w:val="00CF146F"/>
    <w:rsid w:val="00CF1B04"/>
    <w:rsid w:val="00CF1C4D"/>
    <w:rsid w:val="00CF1D9F"/>
    <w:rsid w:val="00CF1EF6"/>
    <w:rsid w:val="00CF2140"/>
    <w:rsid w:val="00CF22E1"/>
    <w:rsid w:val="00CF2425"/>
    <w:rsid w:val="00CF2498"/>
    <w:rsid w:val="00CF25EF"/>
    <w:rsid w:val="00CF270A"/>
    <w:rsid w:val="00CF27EF"/>
    <w:rsid w:val="00CF2BF6"/>
    <w:rsid w:val="00CF3435"/>
    <w:rsid w:val="00CF3B1F"/>
    <w:rsid w:val="00CF3BBA"/>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685"/>
    <w:rsid w:val="00D079E8"/>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D3"/>
    <w:rsid w:val="00D135C7"/>
    <w:rsid w:val="00D1384D"/>
    <w:rsid w:val="00D13D36"/>
    <w:rsid w:val="00D13DF3"/>
    <w:rsid w:val="00D13E32"/>
    <w:rsid w:val="00D13E4E"/>
    <w:rsid w:val="00D14211"/>
    <w:rsid w:val="00D144DC"/>
    <w:rsid w:val="00D147ED"/>
    <w:rsid w:val="00D1486D"/>
    <w:rsid w:val="00D14A0F"/>
    <w:rsid w:val="00D14A31"/>
    <w:rsid w:val="00D14BC3"/>
    <w:rsid w:val="00D14DDF"/>
    <w:rsid w:val="00D15515"/>
    <w:rsid w:val="00D15691"/>
    <w:rsid w:val="00D16042"/>
    <w:rsid w:val="00D1606D"/>
    <w:rsid w:val="00D162A7"/>
    <w:rsid w:val="00D16DEC"/>
    <w:rsid w:val="00D16EBB"/>
    <w:rsid w:val="00D170F0"/>
    <w:rsid w:val="00D172CA"/>
    <w:rsid w:val="00D17732"/>
    <w:rsid w:val="00D17840"/>
    <w:rsid w:val="00D2036F"/>
    <w:rsid w:val="00D205D1"/>
    <w:rsid w:val="00D206D6"/>
    <w:rsid w:val="00D20FF4"/>
    <w:rsid w:val="00D2132C"/>
    <w:rsid w:val="00D213BB"/>
    <w:rsid w:val="00D214D9"/>
    <w:rsid w:val="00D2167C"/>
    <w:rsid w:val="00D225ED"/>
    <w:rsid w:val="00D226FB"/>
    <w:rsid w:val="00D2274D"/>
    <w:rsid w:val="00D228FB"/>
    <w:rsid w:val="00D22C6F"/>
    <w:rsid w:val="00D239A7"/>
    <w:rsid w:val="00D23F47"/>
    <w:rsid w:val="00D2415D"/>
    <w:rsid w:val="00D24515"/>
    <w:rsid w:val="00D248A9"/>
    <w:rsid w:val="00D249FA"/>
    <w:rsid w:val="00D24A24"/>
    <w:rsid w:val="00D24A66"/>
    <w:rsid w:val="00D24B18"/>
    <w:rsid w:val="00D2563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BD5"/>
    <w:rsid w:val="00D35E06"/>
    <w:rsid w:val="00D35FBA"/>
    <w:rsid w:val="00D365E9"/>
    <w:rsid w:val="00D36871"/>
    <w:rsid w:val="00D368FB"/>
    <w:rsid w:val="00D36E71"/>
    <w:rsid w:val="00D36E93"/>
    <w:rsid w:val="00D3722C"/>
    <w:rsid w:val="00D37512"/>
    <w:rsid w:val="00D375BC"/>
    <w:rsid w:val="00D377E8"/>
    <w:rsid w:val="00D37B6F"/>
    <w:rsid w:val="00D37D87"/>
    <w:rsid w:val="00D4050A"/>
    <w:rsid w:val="00D406FB"/>
    <w:rsid w:val="00D4075D"/>
    <w:rsid w:val="00D40906"/>
    <w:rsid w:val="00D40A9E"/>
    <w:rsid w:val="00D40B33"/>
    <w:rsid w:val="00D40E61"/>
    <w:rsid w:val="00D40FC8"/>
    <w:rsid w:val="00D41274"/>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62EB"/>
    <w:rsid w:val="00D463FF"/>
    <w:rsid w:val="00D46737"/>
    <w:rsid w:val="00D46A6D"/>
    <w:rsid w:val="00D46B50"/>
    <w:rsid w:val="00D46CD1"/>
    <w:rsid w:val="00D46FE8"/>
    <w:rsid w:val="00D47155"/>
    <w:rsid w:val="00D4740A"/>
    <w:rsid w:val="00D4757D"/>
    <w:rsid w:val="00D475A1"/>
    <w:rsid w:val="00D47608"/>
    <w:rsid w:val="00D47647"/>
    <w:rsid w:val="00D47675"/>
    <w:rsid w:val="00D477D6"/>
    <w:rsid w:val="00D479D2"/>
    <w:rsid w:val="00D47CF2"/>
    <w:rsid w:val="00D47F71"/>
    <w:rsid w:val="00D50B29"/>
    <w:rsid w:val="00D50ED5"/>
    <w:rsid w:val="00D5105E"/>
    <w:rsid w:val="00D511B1"/>
    <w:rsid w:val="00D51971"/>
    <w:rsid w:val="00D5271D"/>
    <w:rsid w:val="00D527D5"/>
    <w:rsid w:val="00D52E93"/>
    <w:rsid w:val="00D534DF"/>
    <w:rsid w:val="00D53B6C"/>
    <w:rsid w:val="00D53FED"/>
    <w:rsid w:val="00D54107"/>
    <w:rsid w:val="00D54272"/>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F72"/>
    <w:rsid w:val="00D60FAC"/>
    <w:rsid w:val="00D61326"/>
    <w:rsid w:val="00D61704"/>
    <w:rsid w:val="00D61A72"/>
    <w:rsid w:val="00D61AA7"/>
    <w:rsid w:val="00D61AF5"/>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844"/>
    <w:rsid w:val="00D7084C"/>
    <w:rsid w:val="00D708B0"/>
    <w:rsid w:val="00D709FC"/>
    <w:rsid w:val="00D70E5D"/>
    <w:rsid w:val="00D70EA3"/>
    <w:rsid w:val="00D7103C"/>
    <w:rsid w:val="00D716C1"/>
    <w:rsid w:val="00D71CF0"/>
    <w:rsid w:val="00D71DE4"/>
    <w:rsid w:val="00D72314"/>
    <w:rsid w:val="00D72397"/>
    <w:rsid w:val="00D72608"/>
    <w:rsid w:val="00D7291C"/>
    <w:rsid w:val="00D729EE"/>
    <w:rsid w:val="00D72A64"/>
    <w:rsid w:val="00D72C44"/>
    <w:rsid w:val="00D72ECD"/>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35A"/>
    <w:rsid w:val="00D7636D"/>
    <w:rsid w:val="00D765F3"/>
    <w:rsid w:val="00D769B3"/>
    <w:rsid w:val="00D76A2B"/>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242"/>
    <w:rsid w:val="00DA13F8"/>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F56"/>
    <w:rsid w:val="00DA3F9C"/>
    <w:rsid w:val="00DA426D"/>
    <w:rsid w:val="00DA47A4"/>
    <w:rsid w:val="00DA4CAF"/>
    <w:rsid w:val="00DA50EB"/>
    <w:rsid w:val="00DA53EE"/>
    <w:rsid w:val="00DA5417"/>
    <w:rsid w:val="00DA56E8"/>
    <w:rsid w:val="00DA58D1"/>
    <w:rsid w:val="00DA5C70"/>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B78"/>
    <w:rsid w:val="00DB4D52"/>
    <w:rsid w:val="00DB4E94"/>
    <w:rsid w:val="00DB4F08"/>
    <w:rsid w:val="00DB5455"/>
    <w:rsid w:val="00DB55CE"/>
    <w:rsid w:val="00DB55D4"/>
    <w:rsid w:val="00DB5B19"/>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C2"/>
    <w:rsid w:val="00DC36B6"/>
    <w:rsid w:val="00DC3C8C"/>
    <w:rsid w:val="00DC3F72"/>
    <w:rsid w:val="00DC4071"/>
    <w:rsid w:val="00DC4096"/>
    <w:rsid w:val="00DC4110"/>
    <w:rsid w:val="00DC42CE"/>
    <w:rsid w:val="00DC4383"/>
    <w:rsid w:val="00DC455E"/>
    <w:rsid w:val="00DC481F"/>
    <w:rsid w:val="00DC4BC4"/>
    <w:rsid w:val="00DC53EF"/>
    <w:rsid w:val="00DC5588"/>
    <w:rsid w:val="00DC5C7E"/>
    <w:rsid w:val="00DC61DF"/>
    <w:rsid w:val="00DC6A64"/>
    <w:rsid w:val="00DC6FF2"/>
    <w:rsid w:val="00DC73CB"/>
    <w:rsid w:val="00DC759C"/>
    <w:rsid w:val="00DC77C2"/>
    <w:rsid w:val="00DC785A"/>
    <w:rsid w:val="00DC7F27"/>
    <w:rsid w:val="00DD010A"/>
    <w:rsid w:val="00DD011E"/>
    <w:rsid w:val="00DD0748"/>
    <w:rsid w:val="00DD08BB"/>
    <w:rsid w:val="00DD0AB8"/>
    <w:rsid w:val="00DD0BE2"/>
    <w:rsid w:val="00DD1564"/>
    <w:rsid w:val="00DD16CC"/>
    <w:rsid w:val="00DD1B1E"/>
    <w:rsid w:val="00DD1F80"/>
    <w:rsid w:val="00DD211E"/>
    <w:rsid w:val="00DD21DC"/>
    <w:rsid w:val="00DD2265"/>
    <w:rsid w:val="00DD25D9"/>
    <w:rsid w:val="00DD2897"/>
    <w:rsid w:val="00DD2BFF"/>
    <w:rsid w:val="00DD2E90"/>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7BB"/>
    <w:rsid w:val="00DD6CCC"/>
    <w:rsid w:val="00DD7107"/>
    <w:rsid w:val="00DD72A2"/>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893"/>
    <w:rsid w:val="00DE28B9"/>
    <w:rsid w:val="00DE2E11"/>
    <w:rsid w:val="00DE328C"/>
    <w:rsid w:val="00DE38E9"/>
    <w:rsid w:val="00DE3D36"/>
    <w:rsid w:val="00DE40BC"/>
    <w:rsid w:val="00DE40C2"/>
    <w:rsid w:val="00DE424B"/>
    <w:rsid w:val="00DE434A"/>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B2D"/>
    <w:rsid w:val="00DF0B5D"/>
    <w:rsid w:val="00DF0B6E"/>
    <w:rsid w:val="00DF0DCC"/>
    <w:rsid w:val="00DF1078"/>
    <w:rsid w:val="00DF15E0"/>
    <w:rsid w:val="00DF19B6"/>
    <w:rsid w:val="00DF1A65"/>
    <w:rsid w:val="00DF1B12"/>
    <w:rsid w:val="00DF1B1B"/>
    <w:rsid w:val="00DF1CA1"/>
    <w:rsid w:val="00DF20AD"/>
    <w:rsid w:val="00DF222D"/>
    <w:rsid w:val="00DF2E04"/>
    <w:rsid w:val="00DF30C2"/>
    <w:rsid w:val="00DF35C4"/>
    <w:rsid w:val="00DF37A0"/>
    <w:rsid w:val="00DF3A06"/>
    <w:rsid w:val="00DF3B2E"/>
    <w:rsid w:val="00DF4090"/>
    <w:rsid w:val="00DF40AC"/>
    <w:rsid w:val="00DF50FC"/>
    <w:rsid w:val="00DF56B2"/>
    <w:rsid w:val="00DF592B"/>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118B"/>
    <w:rsid w:val="00E011A7"/>
    <w:rsid w:val="00E0143B"/>
    <w:rsid w:val="00E01587"/>
    <w:rsid w:val="00E0166A"/>
    <w:rsid w:val="00E017A7"/>
    <w:rsid w:val="00E01E40"/>
    <w:rsid w:val="00E01F44"/>
    <w:rsid w:val="00E02282"/>
    <w:rsid w:val="00E022CC"/>
    <w:rsid w:val="00E02701"/>
    <w:rsid w:val="00E030A0"/>
    <w:rsid w:val="00E0327D"/>
    <w:rsid w:val="00E033FF"/>
    <w:rsid w:val="00E035BA"/>
    <w:rsid w:val="00E037C7"/>
    <w:rsid w:val="00E03BA0"/>
    <w:rsid w:val="00E03E97"/>
    <w:rsid w:val="00E0468E"/>
    <w:rsid w:val="00E046C8"/>
    <w:rsid w:val="00E04BC4"/>
    <w:rsid w:val="00E04DB9"/>
    <w:rsid w:val="00E05095"/>
    <w:rsid w:val="00E05FCB"/>
    <w:rsid w:val="00E05FD9"/>
    <w:rsid w:val="00E0614C"/>
    <w:rsid w:val="00E06503"/>
    <w:rsid w:val="00E06847"/>
    <w:rsid w:val="00E06B51"/>
    <w:rsid w:val="00E06C7E"/>
    <w:rsid w:val="00E06DB7"/>
    <w:rsid w:val="00E07354"/>
    <w:rsid w:val="00E07D99"/>
    <w:rsid w:val="00E07E16"/>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625"/>
    <w:rsid w:val="00E20F31"/>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A6D"/>
    <w:rsid w:val="00E242BE"/>
    <w:rsid w:val="00E24ABD"/>
    <w:rsid w:val="00E24B73"/>
    <w:rsid w:val="00E24E38"/>
    <w:rsid w:val="00E2510F"/>
    <w:rsid w:val="00E25139"/>
    <w:rsid w:val="00E2531F"/>
    <w:rsid w:val="00E253CC"/>
    <w:rsid w:val="00E256A4"/>
    <w:rsid w:val="00E25D07"/>
    <w:rsid w:val="00E2631A"/>
    <w:rsid w:val="00E2640D"/>
    <w:rsid w:val="00E2686B"/>
    <w:rsid w:val="00E269B3"/>
    <w:rsid w:val="00E274E0"/>
    <w:rsid w:val="00E2754D"/>
    <w:rsid w:val="00E278D8"/>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59B"/>
    <w:rsid w:val="00E32608"/>
    <w:rsid w:val="00E329A4"/>
    <w:rsid w:val="00E32B5A"/>
    <w:rsid w:val="00E32E78"/>
    <w:rsid w:val="00E330AB"/>
    <w:rsid w:val="00E33719"/>
    <w:rsid w:val="00E33929"/>
    <w:rsid w:val="00E33975"/>
    <w:rsid w:val="00E33A73"/>
    <w:rsid w:val="00E34011"/>
    <w:rsid w:val="00E34188"/>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709F"/>
    <w:rsid w:val="00E3723A"/>
    <w:rsid w:val="00E372FA"/>
    <w:rsid w:val="00E37860"/>
    <w:rsid w:val="00E37BDA"/>
    <w:rsid w:val="00E37BEA"/>
    <w:rsid w:val="00E4022F"/>
    <w:rsid w:val="00E402E5"/>
    <w:rsid w:val="00E402EA"/>
    <w:rsid w:val="00E40474"/>
    <w:rsid w:val="00E405CE"/>
    <w:rsid w:val="00E405D8"/>
    <w:rsid w:val="00E40679"/>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669"/>
    <w:rsid w:val="00E55B53"/>
    <w:rsid w:val="00E55C0A"/>
    <w:rsid w:val="00E55CF3"/>
    <w:rsid w:val="00E55E1B"/>
    <w:rsid w:val="00E55FC4"/>
    <w:rsid w:val="00E5604D"/>
    <w:rsid w:val="00E564E7"/>
    <w:rsid w:val="00E566F3"/>
    <w:rsid w:val="00E56C47"/>
    <w:rsid w:val="00E56C6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81B"/>
    <w:rsid w:val="00E74669"/>
    <w:rsid w:val="00E74BC0"/>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0F15"/>
    <w:rsid w:val="00E81087"/>
    <w:rsid w:val="00E814DD"/>
    <w:rsid w:val="00E81E46"/>
    <w:rsid w:val="00E82146"/>
    <w:rsid w:val="00E8217C"/>
    <w:rsid w:val="00E821C1"/>
    <w:rsid w:val="00E8234C"/>
    <w:rsid w:val="00E82584"/>
    <w:rsid w:val="00E826B8"/>
    <w:rsid w:val="00E82A83"/>
    <w:rsid w:val="00E82B0F"/>
    <w:rsid w:val="00E82B96"/>
    <w:rsid w:val="00E832C8"/>
    <w:rsid w:val="00E832D1"/>
    <w:rsid w:val="00E83302"/>
    <w:rsid w:val="00E83334"/>
    <w:rsid w:val="00E83824"/>
    <w:rsid w:val="00E83956"/>
    <w:rsid w:val="00E83AA9"/>
    <w:rsid w:val="00E83BD1"/>
    <w:rsid w:val="00E83BF8"/>
    <w:rsid w:val="00E83F1D"/>
    <w:rsid w:val="00E84B75"/>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9F"/>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C90"/>
    <w:rsid w:val="00E91DFF"/>
    <w:rsid w:val="00E92254"/>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0D8"/>
    <w:rsid w:val="00EA16CE"/>
    <w:rsid w:val="00EA1DCD"/>
    <w:rsid w:val="00EA1FE2"/>
    <w:rsid w:val="00EA2284"/>
    <w:rsid w:val="00EA2386"/>
    <w:rsid w:val="00EA23B8"/>
    <w:rsid w:val="00EA2406"/>
    <w:rsid w:val="00EA24E5"/>
    <w:rsid w:val="00EA2FFD"/>
    <w:rsid w:val="00EA3522"/>
    <w:rsid w:val="00EA35BA"/>
    <w:rsid w:val="00EA375A"/>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77B"/>
    <w:rsid w:val="00EB0B44"/>
    <w:rsid w:val="00EB0C7E"/>
    <w:rsid w:val="00EB0F52"/>
    <w:rsid w:val="00EB12DF"/>
    <w:rsid w:val="00EB17E5"/>
    <w:rsid w:val="00EB19BD"/>
    <w:rsid w:val="00EB1A7F"/>
    <w:rsid w:val="00EB1C9E"/>
    <w:rsid w:val="00EB1DC1"/>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100"/>
    <w:rsid w:val="00EB4B4B"/>
    <w:rsid w:val="00EB4DE8"/>
    <w:rsid w:val="00EB4E44"/>
    <w:rsid w:val="00EB4EA2"/>
    <w:rsid w:val="00EB4F9E"/>
    <w:rsid w:val="00EB558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899"/>
    <w:rsid w:val="00ED492D"/>
    <w:rsid w:val="00ED4B8E"/>
    <w:rsid w:val="00ED4EDB"/>
    <w:rsid w:val="00ED4F0D"/>
    <w:rsid w:val="00ED4FBB"/>
    <w:rsid w:val="00ED50F2"/>
    <w:rsid w:val="00ED513D"/>
    <w:rsid w:val="00ED55D3"/>
    <w:rsid w:val="00ED5F20"/>
    <w:rsid w:val="00ED6327"/>
    <w:rsid w:val="00ED68E3"/>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20FD"/>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C44"/>
    <w:rsid w:val="00EF7C7B"/>
    <w:rsid w:val="00EF7CBB"/>
    <w:rsid w:val="00EF7E5B"/>
    <w:rsid w:val="00EF7F51"/>
    <w:rsid w:val="00F00233"/>
    <w:rsid w:val="00F0078A"/>
    <w:rsid w:val="00F00D43"/>
    <w:rsid w:val="00F011BD"/>
    <w:rsid w:val="00F0128E"/>
    <w:rsid w:val="00F01EB7"/>
    <w:rsid w:val="00F01FF1"/>
    <w:rsid w:val="00F02B40"/>
    <w:rsid w:val="00F02BA8"/>
    <w:rsid w:val="00F02F1F"/>
    <w:rsid w:val="00F02F92"/>
    <w:rsid w:val="00F02FAC"/>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9E8"/>
    <w:rsid w:val="00F07AAD"/>
    <w:rsid w:val="00F07B2E"/>
    <w:rsid w:val="00F07BFA"/>
    <w:rsid w:val="00F07F06"/>
    <w:rsid w:val="00F10079"/>
    <w:rsid w:val="00F1025E"/>
    <w:rsid w:val="00F10629"/>
    <w:rsid w:val="00F106DE"/>
    <w:rsid w:val="00F10AD8"/>
    <w:rsid w:val="00F10B5F"/>
    <w:rsid w:val="00F1112D"/>
    <w:rsid w:val="00F11640"/>
    <w:rsid w:val="00F117D3"/>
    <w:rsid w:val="00F11E74"/>
    <w:rsid w:val="00F12357"/>
    <w:rsid w:val="00F12411"/>
    <w:rsid w:val="00F127F8"/>
    <w:rsid w:val="00F12BA7"/>
    <w:rsid w:val="00F12C10"/>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630B"/>
    <w:rsid w:val="00F26733"/>
    <w:rsid w:val="00F2675F"/>
    <w:rsid w:val="00F2699E"/>
    <w:rsid w:val="00F26AD2"/>
    <w:rsid w:val="00F273F7"/>
    <w:rsid w:val="00F274C5"/>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713"/>
    <w:rsid w:val="00F317B6"/>
    <w:rsid w:val="00F31972"/>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3025"/>
    <w:rsid w:val="00F43098"/>
    <w:rsid w:val="00F43275"/>
    <w:rsid w:val="00F43346"/>
    <w:rsid w:val="00F43387"/>
    <w:rsid w:val="00F43765"/>
    <w:rsid w:val="00F43882"/>
    <w:rsid w:val="00F43DC0"/>
    <w:rsid w:val="00F43DD5"/>
    <w:rsid w:val="00F43EE4"/>
    <w:rsid w:val="00F44378"/>
    <w:rsid w:val="00F44E2B"/>
    <w:rsid w:val="00F4504E"/>
    <w:rsid w:val="00F45306"/>
    <w:rsid w:val="00F45650"/>
    <w:rsid w:val="00F45664"/>
    <w:rsid w:val="00F457C5"/>
    <w:rsid w:val="00F45C99"/>
    <w:rsid w:val="00F45E6F"/>
    <w:rsid w:val="00F45F02"/>
    <w:rsid w:val="00F45FE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F81"/>
    <w:rsid w:val="00F6605D"/>
    <w:rsid w:val="00F667B5"/>
    <w:rsid w:val="00F66869"/>
    <w:rsid w:val="00F6693A"/>
    <w:rsid w:val="00F669B2"/>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15"/>
    <w:rsid w:val="00F763B3"/>
    <w:rsid w:val="00F7652B"/>
    <w:rsid w:val="00F7699C"/>
    <w:rsid w:val="00F76D60"/>
    <w:rsid w:val="00F76E28"/>
    <w:rsid w:val="00F76EFA"/>
    <w:rsid w:val="00F77097"/>
    <w:rsid w:val="00F770C8"/>
    <w:rsid w:val="00F77435"/>
    <w:rsid w:val="00F77617"/>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C3D"/>
    <w:rsid w:val="00F84E1A"/>
    <w:rsid w:val="00F85025"/>
    <w:rsid w:val="00F850AF"/>
    <w:rsid w:val="00F85304"/>
    <w:rsid w:val="00F85767"/>
    <w:rsid w:val="00F858FA"/>
    <w:rsid w:val="00F859D8"/>
    <w:rsid w:val="00F85A10"/>
    <w:rsid w:val="00F85A60"/>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C73"/>
    <w:rsid w:val="00FA402D"/>
    <w:rsid w:val="00FA4464"/>
    <w:rsid w:val="00FA448C"/>
    <w:rsid w:val="00FA45A4"/>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4DB"/>
    <w:rsid w:val="00FB572F"/>
    <w:rsid w:val="00FB59F3"/>
    <w:rsid w:val="00FB5FC3"/>
    <w:rsid w:val="00FB683A"/>
    <w:rsid w:val="00FB6940"/>
    <w:rsid w:val="00FB6A6A"/>
    <w:rsid w:val="00FB6B50"/>
    <w:rsid w:val="00FB6C7F"/>
    <w:rsid w:val="00FB6D86"/>
    <w:rsid w:val="00FB72EE"/>
    <w:rsid w:val="00FB73BC"/>
    <w:rsid w:val="00FB7458"/>
    <w:rsid w:val="00FB767C"/>
    <w:rsid w:val="00FB7A15"/>
    <w:rsid w:val="00FC0021"/>
    <w:rsid w:val="00FC0175"/>
    <w:rsid w:val="00FC0337"/>
    <w:rsid w:val="00FC09A9"/>
    <w:rsid w:val="00FC1052"/>
    <w:rsid w:val="00FC1159"/>
    <w:rsid w:val="00FC1358"/>
    <w:rsid w:val="00FC1681"/>
    <w:rsid w:val="00FC16E2"/>
    <w:rsid w:val="00FC173B"/>
    <w:rsid w:val="00FC17D6"/>
    <w:rsid w:val="00FC19F2"/>
    <w:rsid w:val="00FC22DF"/>
    <w:rsid w:val="00FC2DD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284"/>
    <w:rsid w:val="00FD1597"/>
    <w:rsid w:val="00FD180E"/>
    <w:rsid w:val="00FD1EC8"/>
    <w:rsid w:val="00FD20A2"/>
    <w:rsid w:val="00FD2235"/>
    <w:rsid w:val="00FD23F8"/>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E4"/>
    <w:rsid w:val="00FE6076"/>
    <w:rsid w:val="00FE6169"/>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07F"/>
    <w:rsid w:val="00FF1748"/>
    <w:rsid w:val="00FF1C2E"/>
    <w:rsid w:val="00FF1E59"/>
    <w:rsid w:val="00FF2255"/>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A0D2F"/>
    <w:pPr>
      <w:numPr>
        <w:numId w:val="13"/>
      </w:numPr>
      <w:ind w:left="1584" w:hanging="1584"/>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A0D2F"/>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tp.3gpp.org/Specs/archive/38_series/38.869/38869-2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FE236-582A-4F4E-9C78-DD73AEBDBC4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9090334-222A-4F30-9913-5E12F0DCACCF}">
  <ds:schemaRefs>
    <ds:schemaRef ds:uri="http://schemas.microsoft.com/sharepoint/v3/contenttype/forms"/>
  </ds:schemaRefs>
</ds:datastoreItem>
</file>

<file path=customXml/itemProps3.xml><?xml version="1.0" encoding="utf-8"?>
<ds:datastoreItem xmlns:ds="http://schemas.openxmlformats.org/officeDocument/2006/customXml" ds:itemID="{296FA7BF-F1D0-41A9-9DB4-9CD13B23F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3473</Words>
  <Characters>18645</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22074</CharactersWithSpaces>
  <SharedDoc>false</SharedDoc>
  <HLinks>
    <vt:vector size="342" baseType="variant">
      <vt:variant>
        <vt:i4>262178</vt:i4>
      </vt:variant>
      <vt:variant>
        <vt:i4>354</vt:i4>
      </vt:variant>
      <vt:variant>
        <vt:i4>0</vt:i4>
      </vt:variant>
      <vt:variant>
        <vt:i4>5</vt:i4>
      </vt:variant>
      <vt:variant>
        <vt:lpwstr>https://www.3gpp.org/ftp/tsg_ran/WG1_RL1/TSGR1_93/LS/Outgoing/R1-1807651.zip</vt:lpwstr>
      </vt:variant>
      <vt:variant>
        <vt:lpwstr/>
      </vt:variant>
      <vt:variant>
        <vt:i4>2490371</vt:i4>
      </vt:variant>
      <vt:variant>
        <vt:i4>351</vt:i4>
      </vt:variant>
      <vt:variant>
        <vt:i4>0</vt:i4>
      </vt:variant>
      <vt:variant>
        <vt:i4>5</vt:i4>
      </vt:variant>
      <vt:variant>
        <vt:lpwstr>https://www.3gpp.org/ftp/tsg_ran/WG4_Radio/TSGR4_101-e/Docs/R4-2119055.zip</vt:lpwstr>
      </vt:variant>
      <vt:variant>
        <vt:lpwstr/>
      </vt:variant>
      <vt:variant>
        <vt:i4>5242935</vt:i4>
      </vt:variant>
      <vt:variant>
        <vt:i4>348</vt:i4>
      </vt:variant>
      <vt:variant>
        <vt:i4>0</vt:i4>
      </vt:variant>
      <vt:variant>
        <vt:i4>5</vt:i4>
      </vt:variant>
      <vt:variant>
        <vt:lpwstr>https://www.3gpp.org/ftp/tsg_ran/WG1_RL1/TSGR1_106b-e/Docs/R1-2110599.zip</vt:lpwstr>
      </vt:variant>
      <vt:variant>
        <vt:lpwstr/>
      </vt:variant>
      <vt:variant>
        <vt:i4>7143425</vt:i4>
      </vt:variant>
      <vt:variant>
        <vt:i4>345</vt:i4>
      </vt:variant>
      <vt:variant>
        <vt:i4>0</vt:i4>
      </vt:variant>
      <vt:variant>
        <vt:i4>5</vt:i4>
      </vt:variant>
      <vt:variant>
        <vt:lpwstr>https://www.3gpp.org/ftp/Specs/archive/38_series/38.306/38306-g40.zip</vt:lpwstr>
      </vt:variant>
      <vt:variant>
        <vt:lpwstr/>
      </vt:variant>
      <vt:variant>
        <vt:i4>6881281</vt:i4>
      </vt:variant>
      <vt:variant>
        <vt:i4>342</vt:i4>
      </vt:variant>
      <vt:variant>
        <vt:i4>0</vt:i4>
      </vt:variant>
      <vt:variant>
        <vt:i4>5</vt:i4>
      </vt:variant>
      <vt:variant>
        <vt:lpwstr>https://www.3gpp.org/ftp/Specs/archive/38_series/38.822/38822-f01.zip</vt:lpwstr>
      </vt:variant>
      <vt:variant>
        <vt:lpwstr/>
      </vt:variant>
      <vt:variant>
        <vt:i4>7077889</vt:i4>
      </vt:variant>
      <vt:variant>
        <vt:i4>339</vt:i4>
      </vt:variant>
      <vt:variant>
        <vt:i4>0</vt:i4>
      </vt:variant>
      <vt:variant>
        <vt:i4>5</vt:i4>
      </vt:variant>
      <vt:variant>
        <vt:lpwstr>https://www.3gpp.org/ftp/Specs/archive/38_series/38.213/38213-g50.zip</vt:lpwstr>
      </vt:variant>
      <vt:variant>
        <vt:lpwstr/>
      </vt:variant>
      <vt:variant>
        <vt:i4>6881294</vt:i4>
      </vt:variant>
      <vt:variant>
        <vt:i4>336</vt:i4>
      </vt:variant>
      <vt:variant>
        <vt:i4>0</vt:i4>
      </vt:variant>
      <vt:variant>
        <vt:i4>5</vt:i4>
      </vt:variant>
      <vt:variant>
        <vt:lpwstr>https://www.3gpp.org/ftp/Specs/archive/38_series/38.875/38875-h00.zip</vt:lpwstr>
      </vt:variant>
      <vt:variant>
        <vt:lpwstr/>
      </vt:variant>
      <vt:variant>
        <vt:i4>7143424</vt:i4>
      </vt:variant>
      <vt:variant>
        <vt:i4>333</vt:i4>
      </vt:variant>
      <vt:variant>
        <vt:i4>0</vt:i4>
      </vt:variant>
      <vt:variant>
        <vt:i4>5</vt:i4>
      </vt:variant>
      <vt:variant>
        <vt:lpwstr>https://www.3gpp.org/ftp/Specs/archive/38_series/38.331/38331-g41.zip</vt:lpwstr>
      </vt:variant>
      <vt:variant>
        <vt:lpwstr/>
      </vt:variant>
      <vt:variant>
        <vt:i4>5308477</vt:i4>
      </vt:variant>
      <vt:variant>
        <vt:i4>330</vt:i4>
      </vt:variant>
      <vt:variant>
        <vt:i4>0</vt:i4>
      </vt:variant>
      <vt:variant>
        <vt:i4>5</vt:i4>
      </vt:variant>
      <vt:variant>
        <vt:lpwstr>https://www.3gpp.org/ftp/tsg_ran/WG1_RL1/TSGR1_106b-e/Docs/R1-2110385.zip</vt:lpwstr>
      </vt:variant>
      <vt:variant>
        <vt:lpwstr/>
      </vt:variant>
      <vt:variant>
        <vt:i4>6881373</vt:i4>
      </vt:variant>
      <vt:variant>
        <vt:i4>327</vt:i4>
      </vt:variant>
      <vt:variant>
        <vt:i4>0</vt:i4>
      </vt:variant>
      <vt:variant>
        <vt:i4>5</vt:i4>
      </vt:variant>
      <vt:variant>
        <vt:lpwstr>https://www.3gpp.org/ftp/TSG_RAN/TSG_RAN/TSGR_92e/Docs/RP-211574.zip</vt:lpwstr>
      </vt:variant>
      <vt:variant>
        <vt:lpwstr/>
      </vt:variant>
      <vt:variant>
        <vt:i4>6750213</vt:i4>
      </vt:variant>
      <vt:variant>
        <vt:i4>324</vt:i4>
      </vt:variant>
      <vt:variant>
        <vt:i4>0</vt:i4>
      </vt:variant>
      <vt:variant>
        <vt:i4>5</vt:i4>
      </vt:variant>
      <vt:variant>
        <vt:lpwstr>https://www.3gpp.org/ftp/Specs/archive/36_series/36.888/36888-c00.zip</vt:lpwstr>
      </vt:variant>
      <vt:variant>
        <vt:lpwstr/>
      </vt:variant>
      <vt:variant>
        <vt:i4>6881371</vt:i4>
      </vt:variant>
      <vt:variant>
        <vt:i4>321</vt:i4>
      </vt:variant>
      <vt:variant>
        <vt:i4>0</vt:i4>
      </vt:variant>
      <vt:variant>
        <vt:i4>5</vt:i4>
      </vt:variant>
      <vt:variant>
        <vt:lpwstr>https://www.3gpp.org/ftp/tsg_ran/TSG_RAN/TSGR_93e/Docs/RP-212424.zip</vt:lpwstr>
      </vt:variant>
      <vt:variant>
        <vt:lpwstr/>
      </vt:variant>
      <vt:variant>
        <vt:i4>6881294</vt:i4>
      </vt:variant>
      <vt:variant>
        <vt:i4>318</vt:i4>
      </vt:variant>
      <vt:variant>
        <vt:i4>0</vt:i4>
      </vt:variant>
      <vt:variant>
        <vt:i4>5</vt:i4>
      </vt:variant>
      <vt:variant>
        <vt:lpwstr>https://www.3gpp.org/ftp/Specs/archive/38_series/38.875/38875-h00.zip</vt:lpwstr>
      </vt:variant>
      <vt:variant>
        <vt:lpwstr/>
      </vt:variant>
      <vt:variant>
        <vt:i4>6881374</vt:i4>
      </vt:variant>
      <vt:variant>
        <vt:i4>315</vt:i4>
      </vt:variant>
      <vt:variant>
        <vt:i4>0</vt:i4>
      </vt:variant>
      <vt:variant>
        <vt:i4>5</vt:i4>
      </vt:variant>
      <vt:variant>
        <vt:lpwstr>https://www.3gpp.org/ftp/TSG_RAN/TSG_RAN/TSGR_94e/Docs/RP-213661.zip</vt:lpwstr>
      </vt:variant>
      <vt:variant>
        <vt:lpwstr/>
      </vt:variant>
      <vt:variant>
        <vt:i4>1638449</vt:i4>
      </vt:variant>
      <vt:variant>
        <vt:i4>311</vt:i4>
      </vt:variant>
      <vt:variant>
        <vt:i4>0</vt:i4>
      </vt:variant>
      <vt:variant>
        <vt:i4>5</vt:i4>
      </vt:variant>
      <vt:variant>
        <vt:lpwstr/>
      </vt:variant>
      <vt:variant>
        <vt:lpwstr>_Toc101970675</vt:lpwstr>
      </vt:variant>
      <vt:variant>
        <vt:i4>1638449</vt:i4>
      </vt:variant>
      <vt:variant>
        <vt:i4>308</vt:i4>
      </vt:variant>
      <vt:variant>
        <vt:i4>0</vt:i4>
      </vt:variant>
      <vt:variant>
        <vt:i4>5</vt:i4>
      </vt:variant>
      <vt:variant>
        <vt:lpwstr/>
      </vt:variant>
      <vt:variant>
        <vt:lpwstr>_Toc101970674</vt:lpwstr>
      </vt:variant>
      <vt:variant>
        <vt:i4>1638449</vt:i4>
      </vt:variant>
      <vt:variant>
        <vt:i4>305</vt:i4>
      </vt:variant>
      <vt:variant>
        <vt:i4>0</vt:i4>
      </vt:variant>
      <vt:variant>
        <vt:i4>5</vt:i4>
      </vt:variant>
      <vt:variant>
        <vt:lpwstr/>
      </vt:variant>
      <vt:variant>
        <vt:lpwstr>_Toc101970673</vt:lpwstr>
      </vt:variant>
      <vt:variant>
        <vt:i4>1638449</vt:i4>
      </vt:variant>
      <vt:variant>
        <vt:i4>302</vt:i4>
      </vt:variant>
      <vt:variant>
        <vt:i4>0</vt:i4>
      </vt:variant>
      <vt:variant>
        <vt:i4>5</vt:i4>
      </vt:variant>
      <vt:variant>
        <vt:lpwstr/>
      </vt:variant>
      <vt:variant>
        <vt:lpwstr>_Toc101970672</vt:lpwstr>
      </vt:variant>
      <vt:variant>
        <vt:i4>1638449</vt:i4>
      </vt:variant>
      <vt:variant>
        <vt:i4>296</vt:i4>
      </vt:variant>
      <vt:variant>
        <vt:i4>0</vt:i4>
      </vt:variant>
      <vt:variant>
        <vt:i4>5</vt:i4>
      </vt:variant>
      <vt:variant>
        <vt:lpwstr/>
      </vt:variant>
      <vt:variant>
        <vt:lpwstr>_Toc101970671</vt:lpwstr>
      </vt:variant>
      <vt:variant>
        <vt:i4>1638449</vt:i4>
      </vt:variant>
      <vt:variant>
        <vt:i4>293</vt:i4>
      </vt:variant>
      <vt:variant>
        <vt:i4>0</vt:i4>
      </vt:variant>
      <vt:variant>
        <vt:i4>5</vt:i4>
      </vt:variant>
      <vt:variant>
        <vt:lpwstr/>
      </vt:variant>
      <vt:variant>
        <vt:lpwstr>_Toc101970670</vt:lpwstr>
      </vt:variant>
      <vt:variant>
        <vt:i4>1572913</vt:i4>
      </vt:variant>
      <vt:variant>
        <vt:i4>290</vt:i4>
      </vt:variant>
      <vt:variant>
        <vt:i4>0</vt:i4>
      </vt:variant>
      <vt:variant>
        <vt:i4>5</vt:i4>
      </vt:variant>
      <vt:variant>
        <vt:lpwstr/>
      </vt:variant>
      <vt:variant>
        <vt:lpwstr>_Toc101970669</vt:lpwstr>
      </vt:variant>
      <vt:variant>
        <vt:i4>1572913</vt:i4>
      </vt:variant>
      <vt:variant>
        <vt:i4>287</vt:i4>
      </vt:variant>
      <vt:variant>
        <vt:i4>0</vt:i4>
      </vt:variant>
      <vt:variant>
        <vt:i4>5</vt:i4>
      </vt:variant>
      <vt:variant>
        <vt:lpwstr/>
      </vt:variant>
      <vt:variant>
        <vt:lpwstr>_Toc101970668</vt:lpwstr>
      </vt:variant>
      <vt:variant>
        <vt:i4>1572913</vt:i4>
      </vt:variant>
      <vt:variant>
        <vt:i4>284</vt:i4>
      </vt:variant>
      <vt:variant>
        <vt:i4>0</vt:i4>
      </vt:variant>
      <vt:variant>
        <vt:i4>5</vt:i4>
      </vt:variant>
      <vt:variant>
        <vt:lpwstr/>
      </vt:variant>
      <vt:variant>
        <vt:lpwstr>_Toc101970667</vt:lpwstr>
      </vt:variant>
      <vt:variant>
        <vt:i4>1572913</vt:i4>
      </vt:variant>
      <vt:variant>
        <vt:i4>281</vt:i4>
      </vt:variant>
      <vt:variant>
        <vt:i4>0</vt:i4>
      </vt:variant>
      <vt:variant>
        <vt:i4>5</vt:i4>
      </vt:variant>
      <vt:variant>
        <vt:lpwstr/>
      </vt:variant>
      <vt:variant>
        <vt:lpwstr>_Toc101970666</vt:lpwstr>
      </vt:variant>
      <vt:variant>
        <vt:i4>1572913</vt:i4>
      </vt:variant>
      <vt:variant>
        <vt:i4>278</vt:i4>
      </vt:variant>
      <vt:variant>
        <vt:i4>0</vt:i4>
      </vt:variant>
      <vt:variant>
        <vt:i4>5</vt:i4>
      </vt:variant>
      <vt:variant>
        <vt:lpwstr/>
      </vt:variant>
      <vt:variant>
        <vt:lpwstr>_Toc101970665</vt:lpwstr>
      </vt:variant>
      <vt:variant>
        <vt:i4>1572913</vt:i4>
      </vt:variant>
      <vt:variant>
        <vt:i4>275</vt:i4>
      </vt:variant>
      <vt:variant>
        <vt:i4>0</vt:i4>
      </vt:variant>
      <vt:variant>
        <vt:i4>5</vt:i4>
      </vt:variant>
      <vt:variant>
        <vt:lpwstr/>
      </vt:variant>
      <vt:variant>
        <vt:lpwstr>_Toc101970664</vt:lpwstr>
      </vt:variant>
      <vt:variant>
        <vt:i4>1572913</vt:i4>
      </vt:variant>
      <vt:variant>
        <vt:i4>272</vt:i4>
      </vt:variant>
      <vt:variant>
        <vt:i4>0</vt:i4>
      </vt:variant>
      <vt:variant>
        <vt:i4>5</vt:i4>
      </vt:variant>
      <vt:variant>
        <vt:lpwstr/>
      </vt:variant>
      <vt:variant>
        <vt:lpwstr>_Toc101970663</vt:lpwstr>
      </vt:variant>
      <vt:variant>
        <vt:i4>1572913</vt:i4>
      </vt:variant>
      <vt:variant>
        <vt:i4>269</vt:i4>
      </vt:variant>
      <vt:variant>
        <vt:i4>0</vt:i4>
      </vt:variant>
      <vt:variant>
        <vt:i4>5</vt:i4>
      </vt:variant>
      <vt:variant>
        <vt:lpwstr/>
      </vt:variant>
      <vt:variant>
        <vt:lpwstr>_Toc101970662</vt:lpwstr>
      </vt:variant>
      <vt:variant>
        <vt:i4>1572913</vt:i4>
      </vt:variant>
      <vt:variant>
        <vt:i4>266</vt:i4>
      </vt:variant>
      <vt:variant>
        <vt:i4>0</vt:i4>
      </vt:variant>
      <vt:variant>
        <vt:i4>5</vt:i4>
      </vt:variant>
      <vt:variant>
        <vt:lpwstr/>
      </vt:variant>
      <vt:variant>
        <vt:lpwstr>_Toc101970661</vt:lpwstr>
      </vt:variant>
      <vt:variant>
        <vt:i4>1572913</vt:i4>
      </vt:variant>
      <vt:variant>
        <vt:i4>263</vt:i4>
      </vt:variant>
      <vt:variant>
        <vt:i4>0</vt:i4>
      </vt:variant>
      <vt:variant>
        <vt:i4>5</vt:i4>
      </vt:variant>
      <vt:variant>
        <vt:lpwstr/>
      </vt:variant>
      <vt:variant>
        <vt:lpwstr>_Toc101970660</vt:lpwstr>
      </vt:variant>
      <vt:variant>
        <vt:i4>1769521</vt:i4>
      </vt:variant>
      <vt:variant>
        <vt:i4>260</vt:i4>
      </vt:variant>
      <vt:variant>
        <vt:i4>0</vt:i4>
      </vt:variant>
      <vt:variant>
        <vt:i4>5</vt:i4>
      </vt:variant>
      <vt:variant>
        <vt:lpwstr/>
      </vt:variant>
      <vt:variant>
        <vt:lpwstr>_Toc101970659</vt:lpwstr>
      </vt:variant>
      <vt:variant>
        <vt:i4>1769521</vt:i4>
      </vt:variant>
      <vt:variant>
        <vt:i4>257</vt:i4>
      </vt:variant>
      <vt:variant>
        <vt:i4>0</vt:i4>
      </vt:variant>
      <vt:variant>
        <vt:i4>5</vt:i4>
      </vt:variant>
      <vt:variant>
        <vt:lpwstr/>
      </vt:variant>
      <vt:variant>
        <vt:lpwstr>_Toc101970658</vt:lpwstr>
      </vt:variant>
      <vt:variant>
        <vt:i4>1769521</vt:i4>
      </vt:variant>
      <vt:variant>
        <vt:i4>254</vt:i4>
      </vt:variant>
      <vt:variant>
        <vt:i4>0</vt:i4>
      </vt:variant>
      <vt:variant>
        <vt:i4>5</vt:i4>
      </vt:variant>
      <vt:variant>
        <vt:lpwstr/>
      </vt:variant>
      <vt:variant>
        <vt:lpwstr>_Toc101970657</vt:lpwstr>
      </vt:variant>
      <vt:variant>
        <vt:i4>1769521</vt:i4>
      </vt:variant>
      <vt:variant>
        <vt:i4>251</vt:i4>
      </vt:variant>
      <vt:variant>
        <vt:i4>0</vt:i4>
      </vt:variant>
      <vt:variant>
        <vt:i4>5</vt:i4>
      </vt:variant>
      <vt:variant>
        <vt:lpwstr/>
      </vt:variant>
      <vt:variant>
        <vt:lpwstr>_Toc101970656</vt:lpwstr>
      </vt:variant>
      <vt:variant>
        <vt:i4>1769521</vt:i4>
      </vt:variant>
      <vt:variant>
        <vt:i4>248</vt:i4>
      </vt:variant>
      <vt:variant>
        <vt:i4>0</vt:i4>
      </vt:variant>
      <vt:variant>
        <vt:i4>5</vt:i4>
      </vt:variant>
      <vt:variant>
        <vt:lpwstr/>
      </vt:variant>
      <vt:variant>
        <vt:lpwstr>_Toc101970655</vt:lpwstr>
      </vt:variant>
      <vt:variant>
        <vt:i4>1769521</vt:i4>
      </vt:variant>
      <vt:variant>
        <vt:i4>245</vt:i4>
      </vt:variant>
      <vt:variant>
        <vt:i4>0</vt:i4>
      </vt:variant>
      <vt:variant>
        <vt:i4>5</vt:i4>
      </vt:variant>
      <vt:variant>
        <vt:lpwstr/>
      </vt:variant>
      <vt:variant>
        <vt:lpwstr>_Toc101970654</vt:lpwstr>
      </vt:variant>
      <vt:variant>
        <vt:i4>1769521</vt:i4>
      </vt:variant>
      <vt:variant>
        <vt:i4>242</vt:i4>
      </vt:variant>
      <vt:variant>
        <vt:i4>0</vt:i4>
      </vt:variant>
      <vt:variant>
        <vt:i4>5</vt:i4>
      </vt:variant>
      <vt:variant>
        <vt:lpwstr/>
      </vt:variant>
      <vt:variant>
        <vt:lpwstr>_Toc101970653</vt:lpwstr>
      </vt:variant>
      <vt:variant>
        <vt:i4>1769521</vt:i4>
      </vt:variant>
      <vt:variant>
        <vt:i4>239</vt:i4>
      </vt:variant>
      <vt:variant>
        <vt:i4>0</vt:i4>
      </vt:variant>
      <vt:variant>
        <vt:i4>5</vt:i4>
      </vt:variant>
      <vt:variant>
        <vt:lpwstr/>
      </vt:variant>
      <vt:variant>
        <vt:lpwstr>_Toc101970652</vt:lpwstr>
      </vt:variant>
      <vt:variant>
        <vt:i4>1769521</vt:i4>
      </vt:variant>
      <vt:variant>
        <vt:i4>236</vt:i4>
      </vt:variant>
      <vt:variant>
        <vt:i4>0</vt:i4>
      </vt:variant>
      <vt:variant>
        <vt:i4>5</vt:i4>
      </vt:variant>
      <vt:variant>
        <vt:lpwstr/>
      </vt:variant>
      <vt:variant>
        <vt:lpwstr>_Toc101970651</vt:lpwstr>
      </vt:variant>
      <vt:variant>
        <vt:i4>1769521</vt:i4>
      </vt:variant>
      <vt:variant>
        <vt:i4>233</vt:i4>
      </vt:variant>
      <vt:variant>
        <vt:i4>0</vt:i4>
      </vt:variant>
      <vt:variant>
        <vt:i4>5</vt:i4>
      </vt:variant>
      <vt:variant>
        <vt:lpwstr/>
      </vt:variant>
      <vt:variant>
        <vt:lpwstr>_Toc101970650</vt:lpwstr>
      </vt:variant>
      <vt:variant>
        <vt:i4>1703985</vt:i4>
      </vt:variant>
      <vt:variant>
        <vt:i4>230</vt:i4>
      </vt:variant>
      <vt:variant>
        <vt:i4>0</vt:i4>
      </vt:variant>
      <vt:variant>
        <vt:i4>5</vt:i4>
      </vt:variant>
      <vt:variant>
        <vt:lpwstr/>
      </vt:variant>
      <vt:variant>
        <vt:lpwstr>_Toc101970649</vt:lpwstr>
      </vt:variant>
      <vt:variant>
        <vt:i4>1703985</vt:i4>
      </vt:variant>
      <vt:variant>
        <vt:i4>227</vt:i4>
      </vt:variant>
      <vt:variant>
        <vt:i4>0</vt:i4>
      </vt:variant>
      <vt:variant>
        <vt:i4>5</vt:i4>
      </vt:variant>
      <vt:variant>
        <vt:lpwstr/>
      </vt:variant>
      <vt:variant>
        <vt:lpwstr>_Toc101970648</vt:lpwstr>
      </vt:variant>
      <vt:variant>
        <vt:i4>1703985</vt:i4>
      </vt:variant>
      <vt:variant>
        <vt:i4>224</vt:i4>
      </vt:variant>
      <vt:variant>
        <vt:i4>0</vt:i4>
      </vt:variant>
      <vt:variant>
        <vt:i4>5</vt:i4>
      </vt:variant>
      <vt:variant>
        <vt:lpwstr/>
      </vt:variant>
      <vt:variant>
        <vt:lpwstr>_Toc101970647</vt:lpwstr>
      </vt:variant>
      <vt:variant>
        <vt:i4>1703985</vt:i4>
      </vt:variant>
      <vt:variant>
        <vt:i4>221</vt:i4>
      </vt:variant>
      <vt:variant>
        <vt:i4>0</vt:i4>
      </vt:variant>
      <vt:variant>
        <vt:i4>5</vt:i4>
      </vt:variant>
      <vt:variant>
        <vt:lpwstr/>
      </vt:variant>
      <vt:variant>
        <vt:lpwstr>_Toc101970646</vt:lpwstr>
      </vt:variant>
      <vt:variant>
        <vt:i4>1703985</vt:i4>
      </vt:variant>
      <vt:variant>
        <vt:i4>218</vt:i4>
      </vt:variant>
      <vt:variant>
        <vt:i4>0</vt:i4>
      </vt:variant>
      <vt:variant>
        <vt:i4>5</vt:i4>
      </vt:variant>
      <vt:variant>
        <vt:lpwstr/>
      </vt:variant>
      <vt:variant>
        <vt:lpwstr>_Toc101970645</vt:lpwstr>
      </vt:variant>
      <vt:variant>
        <vt:i4>1703985</vt:i4>
      </vt:variant>
      <vt:variant>
        <vt:i4>215</vt:i4>
      </vt:variant>
      <vt:variant>
        <vt:i4>0</vt:i4>
      </vt:variant>
      <vt:variant>
        <vt:i4>5</vt:i4>
      </vt:variant>
      <vt:variant>
        <vt:lpwstr/>
      </vt:variant>
      <vt:variant>
        <vt:lpwstr>_Toc101970644</vt:lpwstr>
      </vt:variant>
      <vt:variant>
        <vt:i4>1703985</vt:i4>
      </vt:variant>
      <vt:variant>
        <vt:i4>212</vt:i4>
      </vt:variant>
      <vt:variant>
        <vt:i4>0</vt:i4>
      </vt:variant>
      <vt:variant>
        <vt:i4>5</vt:i4>
      </vt:variant>
      <vt:variant>
        <vt:lpwstr/>
      </vt:variant>
      <vt:variant>
        <vt:lpwstr>_Toc101970643</vt:lpwstr>
      </vt:variant>
      <vt:variant>
        <vt:i4>1703985</vt:i4>
      </vt:variant>
      <vt:variant>
        <vt:i4>209</vt:i4>
      </vt:variant>
      <vt:variant>
        <vt:i4>0</vt:i4>
      </vt:variant>
      <vt:variant>
        <vt:i4>5</vt:i4>
      </vt:variant>
      <vt:variant>
        <vt:lpwstr/>
      </vt:variant>
      <vt:variant>
        <vt:lpwstr>_Toc101970642</vt:lpwstr>
      </vt:variant>
      <vt:variant>
        <vt:i4>1703985</vt:i4>
      </vt:variant>
      <vt:variant>
        <vt:i4>206</vt:i4>
      </vt:variant>
      <vt:variant>
        <vt:i4>0</vt:i4>
      </vt:variant>
      <vt:variant>
        <vt:i4>5</vt:i4>
      </vt:variant>
      <vt:variant>
        <vt:lpwstr/>
      </vt:variant>
      <vt:variant>
        <vt:lpwstr>_Toc101970641</vt:lpwstr>
      </vt:variant>
      <vt:variant>
        <vt:i4>1703985</vt:i4>
      </vt:variant>
      <vt:variant>
        <vt:i4>203</vt:i4>
      </vt:variant>
      <vt:variant>
        <vt:i4>0</vt:i4>
      </vt:variant>
      <vt:variant>
        <vt:i4>5</vt:i4>
      </vt:variant>
      <vt:variant>
        <vt:lpwstr/>
      </vt:variant>
      <vt:variant>
        <vt:lpwstr>_Toc101970640</vt:lpwstr>
      </vt:variant>
      <vt:variant>
        <vt:i4>1900593</vt:i4>
      </vt:variant>
      <vt:variant>
        <vt:i4>200</vt:i4>
      </vt:variant>
      <vt:variant>
        <vt:i4>0</vt:i4>
      </vt:variant>
      <vt:variant>
        <vt:i4>5</vt:i4>
      </vt:variant>
      <vt:variant>
        <vt:lpwstr/>
      </vt:variant>
      <vt:variant>
        <vt:lpwstr>_Toc101970639</vt:lpwstr>
      </vt:variant>
      <vt:variant>
        <vt:i4>1900593</vt:i4>
      </vt:variant>
      <vt:variant>
        <vt:i4>197</vt:i4>
      </vt:variant>
      <vt:variant>
        <vt:i4>0</vt:i4>
      </vt:variant>
      <vt:variant>
        <vt:i4>5</vt:i4>
      </vt:variant>
      <vt:variant>
        <vt:lpwstr/>
      </vt:variant>
      <vt:variant>
        <vt:lpwstr>_Toc101970638</vt:lpwstr>
      </vt:variant>
      <vt:variant>
        <vt:i4>2228300</vt:i4>
      </vt:variant>
      <vt:variant>
        <vt:i4>12</vt:i4>
      </vt:variant>
      <vt:variant>
        <vt:i4>0</vt:i4>
      </vt:variant>
      <vt:variant>
        <vt:i4>5</vt:i4>
      </vt:variant>
      <vt:variant>
        <vt:lpwstr>mailto:yanpeng.yang@ericsson.com</vt:lpwstr>
      </vt:variant>
      <vt:variant>
        <vt:lpwstr/>
      </vt:variant>
      <vt:variant>
        <vt:i4>4063323</vt:i4>
      </vt:variant>
      <vt:variant>
        <vt:i4>9</vt:i4>
      </vt:variant>
      <vt:variant>
        <vt:i4>0</vt:i4>
      </vt:variant>
      <vt:variant>
        <vt:i4>5</vt:i4>
      </vt:variant>
      <vt:variant>
        <vt:lpwstr>mailto:andreas.hoglund@ericsson.com</vt:lpwstr>
      </vt:variant>
      <vt:variant>
        <vt:lpwstr/>
      </vt:variant>
      <vt:variant>
        <vt:i4>4980774</vt:i4>
      </vt:variant>
      <vt:variant>
        <vt:i4>6</vt:i4>
      </vt:variant>
      <vt:variant>
        <vt:i4>0</vt:i4>
      </vt:variant>
      <vt:variant>
        <vt:i4>5</vt:i4>
      </vt:variant>
      <vt:variant>
        <vt:lpwstr>mailto:johan.bergman@ericsson.com</vt:lpwstr>
      </vt:variant>
      <vt:variant>
        <vt:lpwstr/>
      </vt:variant>
      <vt:variant>
        <vt:i4>1900645</vt:i4>
      </vt:variant>
      <vt:variant>
        <vt:i4>3</vt:i4>
      </vt:variant>
      <vt:variant>
        <vt:i4>0</vt:i4>
      </vt:variant>
      <vt:variant>
        <vt:i4>5</vt:i4>
      </vt:variant>
      <vt:variant>
        <vt:lpwstr>mailto:mohammad.mozaffari@ericsson.com</vt:lpwstr>
      </vt:variant>
      <vt:variant>
        <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2024-04-05T16:49:00Z</dcterms:created>
  <dcterms:modified xsi:type="dcterms:W3CDTF">2024-04-05T20:28:00Z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